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62300" cy="7175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dt>
      <w:sdtPr>
        <w:rPr>
          <w:b/>
          <w:sz w:val="64"/>
          <w:szCs w:val="64"/>
          <w:lang w:val="en-US"/>
        </w:rPr>
        <w:alias w:val="Document Title"/>
        <w:tag w:val="Cover_Document_Title"/>
        <w:id w:val="37766366"/>
        <w:lock w:val="sdtLocked"/>
      </w:sdtPr>
      <w:sdtEndPr>
        <w:rPr>
          <w:b/>
          <w:color w:val="0000FF"/>
          <w:sz w:val="56"/>
          <w:szCs w:val="56"/>
          <w:lang w:val="en-US"/>
        </w:rPr>
      </w:sdtEndPr>
      <w:sdtContent>
        <w:sdt>
          <w:sdtPr>
            <w:rPr>
              <w:rFonts w:hint="eastAsia"/>
              <w:b/>
              <w:sz w:val="64"/>
              <w:szCs w:val="64"/>
              <w:lang w:val="en-US"/>
            </w:rPr>
            <w:alias w:val="标题"/>
            <w:tag w:val="标题"/>
            <w:id w:val="382771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>
            <w:rPr>
              <w:rFonts w:hint="eastAsia"/>
              <w:b/>
              <w:color w:val="0000FF"/>
              <w:sz w:val="56"/>
              <w:szCs w:val="56"/>
              <w:lang w:val="en-US"/>
            </w:rPr>
          </w:sdtEndPr>
          <w:sdtContent>
            <w:p>
              <w:pPr>
                <w:rPr>
                  <w:b/>
                  <w:color w:val="0000FF"/>
                  <w:sz w:val="56"/>
                  <w:szCs w:val="56"/>
                  <w:lang w:val="en-US"/>
                </w:rPr>
              </w:pP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NX-1308N-C3数字对讲机</w:t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br w:type="textWrapping"/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产品规格书</w:t>
              </w:r>
            </w:p>
          </w:sdtContent>
        </w:sdt>
      </w:sdtContent>
    </w:sdt>
    <w:sdt>
      <w:sdtPr>
        <w:rPr>
          <w:rFonts w:hint="eastAsia"/>
          <w:b/>
          <w:sz w:val="40"/>
          <w:szCs w:val="40"/>
          <w:lang w:eastAsia="zh-CN"/>
        </w:rPr>
        <w:alias w:val="Project Name"/>
        <w:tag w:val="Cover_Project_Name"/>
        <w:id w:val="37766369"/>
        <w:lock w:val="sdtLocked"/>
      </w:sdtPr>
      <w:sdtEndPr>
        <w:rPr>
          <w:rFonts w:hint="eastAsia"/>
          <w:b/>
          <w:sz w:val="64"/>
          <w:szCs w:val="64"/>
          <w:lang w:eastAsia="zh-CN"/>
        </w:rPr>
      </w:sdtEndPr>
      <w:sdtContent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rPr>
              <w:rFonts w:hint="eastAsia"/>
              <w:b/>
              <w:sz w:val="64"/>
              <w:szCs w:val="64"/>
              <w:lang w:eastAsia="zh-CN"/>
            </w:rPr>
          </w:pPr>
          <w:r>
            <w:rPr>
              <w:rFonts w:hint="eastAsia"/>
              <w:b/>
              <w:sz w:val="40"/>
              <w:szCs w:val="40"/>
              <w:lang w:val="en-US" w:eastAsia="zh-CN"/>
            </w:rPr>
            <w:t>建伍</w:t>
          </w:r>
          <w:r>
            <w:rPr>
              <w:rFonts w:hint="eastAsia"/>
              <w:b/>
              <w:sz w:val="40"/>
              <w:szCs w:val="40"/>
              <w:lang w:eastAsia="zh-CN"/>
            </w:rPr>
            <w:t>终端产品线</w:t>
          </w:r>
        </w:p>
      </w:sdtContent>
    </w:sdt>
    <w:sdt>
      <w:sdtPr>
        <w:rPr>
          <w:b/>
          <w:sz w:val="40"/>
          <w:szCs w:val="40"/>
        </w:rPr>
        <w:alias w:val="标题"/>
        <w:id w:val="38277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b/>
          <w:sz w:val="40"/>
          <w:szCs w:val="40"/>
        </w:rPr>
      </w:sdtEndPr>
      <w:sdtContent>
        <w:p>
          <w:pPr>
            <w:rPr>
              <w:rFonts w:hint="eastAsia"/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  <w:lang w:eastAsia="zh-CN"/>
            </w:rPr>
            <w:t>NX-1308N-C3数字对讲机产品规格书</w:t>
          </w:r>
        </w:p>
      </w:sdtContent>
    </w:sdt>
    <w:p>
      <w:pPr>
        <w:rPr>
          <w:rFonts w:hint="eastAsia"/>
          <w:b/>
          <w:sz w:val="40"/>
          <w:szCs w:val="40"/>
          <w:lang w:val="en-US" w:eastAsia="zh-CN"/>
        </w:rPr>
      </w:pPr>
    </w:p>
    <w:tbl>
      <w:tblPr>
        <w:tblStyle w:val="8"/>
        <w:tblW w:w="91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93"/>
        <w:gridCol w:w="1193"/>
        <w:gridCol w:w="1834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版本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作者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审核者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2022.12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kenwus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widowControl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基线文档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版权所有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日本JVC建伍株式会社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保留所有权利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版权声明：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本文档著作权由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享有。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本文档中的信息随着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KENWOOD建伍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产品和技术的进步将不断更新。由于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JVC KENWOOD集团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技术的不断发展，以上指标数据若有变更，以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的新发布资料为准，恕不另行通知。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NXDN®是JVCKENWOOD公司和ICOM公司的注册商标。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NEXEDGE®是JVCKENWOOD公司注册商标。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FleetSync®是JVCKENWOOD公司的注册商标。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AMBE+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2™</w:t>
      </w:r>
      <w:r>
        <w:rPr>
          <w:rFonts w:hint="eastAsia" w:ascii="宋体" w:hAnsi="宋体" w:eastAsia="宋体" w:cs="宋体"/>
          <w:sz w:val="18"/>
          <w:szCs w:val="18"/>
        </w:rPr>
        <w:t>是Digital Voice Systems Inc公司的注册商标。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所有其他商标均为其各自持有人的财产。</w:t>
      </w:r>
    </w:p>
    <w:sdt>
      <w:sdtPr>
        <w:rPr>
          <w:rFonts w:asciiTheme="minorHAnsi" w:hAnsiTheme="minorHAnsi" w:eastAsiaTheme="minorEastAsia" w:cstheme="minorBidi"/>
          <w:b w:val="0"/>
          <w:spacing w:val="0"/>
          <w:kern w:val="2"/>
          <w:sz w:val="21"/>
          <w:szCs w:val="22"/>
        </w:rPr>
        <w:id w:val="877760"/>
      </w:sdtPr>
      <w:sdtEnd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sdtEndPr>
      <w:sdtContent>
        <w:p>
          <w:pPr>
            <w:pStyle w:val="12"/>
            <w:outlineLvl w:val="9"/>
          </w:pPr>
          <w:r>
            <w:t>目录</w:t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r>
            <w:fldChar w:fldCharType="begin"/>
          </w:r>
          <w:r>
            <w:instrText xml:space="preserve"> HYPERLINK \l _Toc26484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产品外观</w:t>
          </w:r>
          <w:r>
            <w:tab/>
          </w:r>
          <w:r>
            <w:fldChar w:fldCharType="begin"/>
          </w:r>
          <w:r>
            <w:instrText xml:space="preserve"> PAGEREF _Toc26484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_Toc14348 </w:instrText>
          </w:r>
          <w:r>
            <w:fldChar w:fldCharType="separate"/>
          </w:r>
          <w:r>
            <w:rPr>
              <w:rFonts w:hint="eastAsia"/>
              <w:lang w:eastAsia="zh-CN"/>
            </w:rPr>
            <w:t>2 产品特点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eastAsia"/>
              <w:lang w:eastAsia="zh-CN"/>
            </w:rPr>
            <w:t>3 产品规格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_Toc14004 </w:instrText>
          </w:r>
          <w:r>
            <w:fldChar w:fldCharType="separate"/>
          </w:r>
          <w:r>
            <w:rPr>
              <w:rFonts w:hint="eastAsia"/>
              <w:lang w:eastAsia="zh-CN"/>
            </w:rPr>
            <w:t>4 标配附件</w:t>
          </w:r>
          <w:r>
            <w:tab/>
          </w:r>
          <w:r>
            <w:rPr>
              <w:rFonts w:hint="eastAsia"/>
              <w:lang w:val="en-US" w:eastAsia="zh-CN"/>
            </w:rPr>
            <w:t>8</w:t>
          </w:r>
          <w:r>
            <w:fldChar w:fldCharType="end"/>
          </w:r>
        </w:p>
        <w:p>
          <w:pPr>
            <w:rPr>
              <w:rFonts w:ascii="Arial" w:hAnsi="Arial" w:eastAsia="宋体" w:cstheme="minorBidi"/>
              <w:b w:val="0"/>
              <w:spacing w:val="0"/>
              <w:kern w:val="0"/>
              <w:sz w:val="21"/>
              <w:szCs w:val="22"/>
            </w:rPr>
          </w:pPr>
          <w:r>
            <w:fldChar w:fldCharType="end"/>
          </w:r>
        </w:p>
      </w:sdtContent>
    </w:sdt>
    <w:p>
      <w:p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Toc26484"/>
      <w:r>
        <w:rPr>
          <w:rFonts w:hint="eastAsia"/>
          <w:lang w:eastAsia="zh-CN"/>
        </w:rPr>
        <w:t>产品外观</w:t>
      </w:r>
      <w:bookmarkEnd w:id="0"/>
    </w:p>
    <w:p>
      <w:r>
        <w:rPr>
          <w:rFonts w:hint="eastAsia"/>
          <w:lang w:val="en-US" w:eastAsia="zh-CN"/>
        </w:rPr>
        <w:t xml:space="preserve">                         </w:t>
      </w:r>
      <w:r>
        <w:drawing>
          <wp:inline distT="0" distB="0" distL="114300" distR="114300">
            <wp:extent cx="1424305" cy="5095240"/>
            <wp:effectExtent l="0" t="0" r="10795" b="1016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509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3900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68655" cy="2935605"/>
                  <wp:effectExtent l="0" t="0" r="4445" b="10795"/>
                  <wp:docPr id="6" name="图片 6" descr="NX1K_BSC_LT_KRA27_KNB45L_LH00__LB_KBH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NX1K_BSC_LT_KRA27_KNB45L_LH00__LB_KBH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655" cy="293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969770" cy="1401445"/>
                  <wp:effectExtent l="0" t="0" r="11430" b="8255"/>
                  <wp:docPr id="10" name="图片 10" descr="NX1K_BSC_TP_KRA27_KNB45L_LH010__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NX1K_BSC_TP_KRA27_KNB45L_LH010__L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770" cy="140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997075" cy="1397000"/>
                  <wp:effectExtent l="0" t="0" r="9525" b="0"/>
                  <wp:docPr id="12" name="图片 12" descr="NX1K_BSC_BT_KRA27_KNB45L_LH00__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NX1K_BSC_BT_KRA27_KNB45L_LH00__L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vertAlign w:val="baseline"/>
              </w:rPr>
              <w:drawing>
                <wp:inline distT="0" distB="0" distL="114300" distR="114300">
                  <wp:extent cx="823595" cy="3015615"/>
                  <wp:effectExtent l="0" t="0" r="1905" b="6985"/>
                  <wp:docPr id="8" name="图片 8" descr="NX1K_STD_BK_KRA27_KNB45L_LH01__LB_KBH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NX1K_STD_BK_KRA27_KNB45L_LH01__LB_KBH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301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1" w:name="_Toc14348"/>
      <w:r>
        <w:rPr>
          <w:rFonts w:hint="eastAsia"/>
          <w:lang w:eastAsia="zh-CN"/>
        </w:rPr>
        <w:t>产品特点</w:t>
      </w:r>
      <w:bookmarkEnd w:id="1"/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符合NXDN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b/>
          <w:szCs w:val="22"/>
        </w:rPr>
        <w:t>数字通信标准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本系列产品采用NXDN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szCs w:val="22"/>
        </w:rPr>
        <w:t>数字空中接口协议，采用FDMA(频分多址)方式。能够提供6.25kHz超窄带物理信道。优异的滤波技术保证了在弱电场情况下依然具有低误码率，能够提供相对远距离的通信。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优异的语音质量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本系列产品采用AMBE+2声码器，能够准确的还原自然人声，并且适应不同的发声特点，为高质量的语音提供了坚实的基础。带有可优化数字处理器的发射/接收音频配置，包括音频均衡设置、自动增益控制、消噪、麦克风类型设置。加上高达1W的音频功率输出，保证复杂环境中也能够提供清晰悦耳的语音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color w:val="FF0000"/>
          <w:szCs w:val="22"/>
        </w:rPr>
      </w:pPr>
      <w:r>
        <w:rPr>
          <w:rFonts w:hint="eastAsia" w:ascii="Arial" w:hAnsi="Arial" w:eastAsia="宋体"/>
          <w:b/>
          <w:color w:val="FF0000"/>
          <w:szCs w:val="22"/>
        </w:rPr>
        <w:t>能够升级为NEXEDGE Type-D数字集群终端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</w:rPr>
        <w:t>当配置了NEXEDGE Type-D集群软件后，能够作为集群终端在NEXEDGE Type-D集群系统中使用。提供高效、智能化的应用。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支持NXDN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b/>
          <w:szCs w:val="22"/>
        </w:rPr>
        <w:t>常规工作模式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语音业务支持组呼/全呼功能和个别选呼功能数据业务支持状态信息传输功能、短数据传输功能和传呼功能。此外，还提供64个RAN码</w:t>
      </w:r>
      <w:r>
        <w:rPr>
          <w:rFonts w:hint="eastAsia" w:ascii="Arial" w:hAnsi="Arial" w:eastAsia="宋体"/>
          <w:szCs w:val="22"/>
          <w:lang w:eastAsia="zh-CN"/>
        </w:rPr>
        <w:t>（</w:t>
      </w:r>
      <w:r>
        <w:rPr>
          <w:rFonts w:hint="eastAsia" w:ascii="Arial" w:hAnsi="Arial" w:eastAsia="宋体"/>
          <w:szCs w:val="22"/>
        </w:rPr>
        <w:t>无线接入码</w:t>
      </w:r>
      <w:r>
        <w:rPr>
          <w:rFonts w:hint="eastAsia" w:ascii="Arial" w:hAnsi="Arial" w:eastAsia="宋体"/>
          <w:szCs w:val="22"/>
          <w:lang w:eastAsia="zh-CN"/>
        </w:rPr>
        <w:t>）</w:t>
      </w:r>
      <w:r>
        <w:rPr>
          <w:rFonts w:hint="eastAsia" w:ascii="Arial" w:hAnsi="Arial" w:eastAsia="宋体"/>
          <w:szCs w:val="22"/>
        </w:rPr>
        <w:t>供选择使用，其作用类似模拟模式中的QT或DQT功能，保证可靠和有效的通信。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丰富的扫描功能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具有双优先扫描、单优先扫描、单区域扫描、多区域扫描、普通扫描供选择使用。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多档发射功率选择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无论是VHF频段还是UHF频段，发射功率可分为高、中、低3档。高功率可达5W，中功率4W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低功率1W，用户可以根据工作需要自由切换发射功率档，在保证通信可靠和节省电源消耗方面获</w:t>
      </w:r>
      <w:bookmarkStart w:id="6" w:name="_GoBack"/>
      <w:bookmarkEnd w:id="6"/>
      <w:r>
        <w:rPr>
          <w:rFonts w:hint="eastAsia" w:ascii="Arial" w:hAnsi="Arial" w:eastAsia="宋体"/>
          <w:szCs w:val="22"/>
        </w:rPr>
        <w:t>得良好平衡。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常规多基站联网漫游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能够检测来自各联网基站的信标信号，比较各基站的信号强度，自动切换到信号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好的基站使用，在各联网基站之间自动漫游，使用者无需手动切换基站。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其它功能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通用功能: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7色LED指示灯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操作语音提示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声控发射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紧急报警</w:t>
      </w:r>
      <w:r>
        <w:rPr>
          <w:rFonts w:hint="eastAsia" w:ascii="Arial" w:hAnsi="Arial" w:eastAsia="宋体"/>
          <w:szCs w:val="22"/>
          <w:lang w:eastAsia="zh-CN"/>
        </w:rPr>
        <w:t>（</w:t>
      </w:r>
      <w:r>
        <w:rPr>
          <w:rFonts w:hint="eastAsia" w:ascii="Arial" w:hAnsi="Arial" w:eastAsia="宋体"/>
          <w:szCs w:val="22"/>
        </w:rPr>
        <w:t>可用户化定义简况)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远程遥晕/复活/遥毙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单兵作业安全提示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大音量/小音量设置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电子系列号码(ESN)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</w:rPr>
        <w:t>语音加</w:t>
      </w:r>
      <w:r>
        <w:rPr>
          <w:rFonts w:hint="eastAsia" w:ascii="Arial" w:hAnsi="Arial" w:eastAsia="宋体"/>
          <w:szCs w:val="22"/>
          <w:lang w:val="en-US" w:eastAsia="zh-CN"/>
        </w:rPr>
        <w:t>密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符合美国军标MIL-STD-810 C/D/EJF/G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IP54/55防尘/防水等级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支持扩展GPS /北斗定位与校时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支持扩展500小时录音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NXDN数字模式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空中别名功能(仅发射)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远程检查/监听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延</w:t>
      </w:r>
      <w:r>
        <w:rPr>
          <w:rFonts w:hint="eastAsia" w:ascii="Arial" w:hAnsi="Arial" w:eastAsia="宋体"/>
          <w:szCs w:val="22"/>
          <w:lang w:val="en-US" w:eastAsia="zh-CN"/>
        </w:rPr>
        <w:t>迟</w:t>
      </w:r>
      <w:r>
        <w:rPr>
          <w:rFonts w:hint="eastAsia" w:ascii="Arial" w:hAnsi="Arial" w:eastAsia="宋体"/>
          <w:szCs w:val="22"/>
        </w:rPr>
        <w:t>加入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/>
    <w:p/>
    <w:p/>
    <w:p/>
    <w:p/>
    <w:p/>
    <w:p/>
    <w:p/>
    <w:p/>
    <w:p/>
    <w:p/>
    <w:p/>
    <w:p/>
    <w:p/>
    <w:p/>
    <w:p/>
    <w:p/>
    <w:p/>
    <w:p>
      <w:pPr>
        <w:pStyle w:val="2"/>
        <w:rPr>
          <w:rFonts w:hint="eastAsia"/>
          <w:lang w:eastAsia="zh-CN"/>
        </w:rPr>
      </w:pPr>
      <w:bookmarkStart w:id="2" w:name="_Toc9930"/>
      <w:r>
        <w:rPr>
          <w:rFonts w:hint="eastAsia"/>
          <w:lang w:eastAsia="zh-CN"/>
        </w:rPr>
        <w:t>产品规格</w:t>
      </w:r>
      <w:bookmarkEnd w:id="2"/>
    </w:p>
    <w:tbl>
      <w:tblPr>
        <w:tblStyle w:val="8"/>
        <w:tblW w:w="86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6"/>
        <w:gridCol w:w="4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400-470MHz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信道数量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64信道/4区域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信道间隔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电源电压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7.5VDC±20%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电池使用时间*（5-5-90工作循环）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约11小时（KNB-45L电池）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约8小时（KNB-29)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主机工作温度范围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- 30～+60℃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频率稳定度(-30～+60℃，25℃基准）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±0.5ppm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天线阻抗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尺寸（宽x高x厚） 配KNB-45L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配KNB-29N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54x123x33.5mm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54x123x33.5mm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重量本机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配KNB-45L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配KNB-29N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接收部份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灵敏度数字 NXDN数字 1%误码率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NXDN数字 3%识码率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0.30μV/12.5kHz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0.24μV/12.5kHz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邻道选择性 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60dB@12.5kHz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互调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60dB@12.5kHz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杂散响应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60dB@12.5kHz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音频失真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小于7%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音频输出功率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1W(内部扬声器）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发射部份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发射功率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5W/4W/1W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杂散响应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-30dBm&gt;1GHcz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调频失真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小于2%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调制类型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8K30F1D，4K00F1E，4K00F1D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4K00F7W，4K00F2D，8KOF1E，8K30F7W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*根据实际测量</w:t>
      </w:r>
    </w:p>
    <w:p>
      <w:pPr>
        <w:rPr>
          <w:rFonts w:hint="eastAsia"/>
        </w:rPr>
      </w:pPr>
      <w:r>
        <w:rPr>
          <w:rFonts w:hint="eastAsia"/>
        </w:rPr>
        <w:t>上述数据是典型值。</w:t>
      </w:r>
    </w:p>
    <w:p>
      <w:pPr>
        <w:rPr>
          <w:rFonts w:hint="eastAsia"/>
        </w:rPr>
      </w:pPr>
      <w:r>
        <w:rPr>
          <w:rFonts w:hint="eastAsia"/>
        </w:rPr>
        <w:t>固件和软件的升级细节和时间是不固定的，恕不预先通知。</w:t>
      </w:r>
    </w:p>
    <w:p>
      <w:pPr>
        <w:rPr>
          <w:rFonts w:hint="eastAsia"/>
        </w:rPr>
      </w:pPr>
      <w:r>
        <w:rPr>
          <w:rFonts w:hint="eastAsia"/>
        </w:rPr>
        <w:t>由于技术不断地发展，以上数据有可能变更，恕不预先通知。</w:t>
      </w:r>
    </w:p>
    <w:p/>
    <w:p/>
    <w:p/>
    <w:p/>
    <w:p/>
    <w:p>
      <w:pPr>
        <w:pStyle w:val="2"/>
        <w:rPr>
          <w:rFonts w:hint="eastAsia"/>
          <w:lang w:eastAsia="zh-CN"/>
        </w:rPr>
      </w:pPr>
      <w:bookmarkStart w:id="3" w:name="_Toc5208"/>
      <w:bookmarkStart w:id="4" w:name="_Toc30620"/>
      <w:bookmarkStart w:id="5" w:name="_Toc14004"/>
      <w:r>
        <w:rPr>
          <w:rFonts w:hint="eastAsia"/>
          <w:lang w:eastAsia="zh-CN"/>
        </w:rPr>
        <w:t>标配附件</w:t>
      </w:r>
      <w:bookmarkEnd w:id="3"/>
      <w:bookmarkEnd w:id="4"/>
      <w:bookmarkEnd w:id="5"/>
    </w:p>
    <w:tbl>
      <w:tblPr>
        <w:tblStyle w:val="9"/>
        <w:tblpPr w:leftFromText="180" w:rightFromText="180" w:vertAnchor="text" w:horzAnchor="page" w:tblpX="2052" w:tblpY="347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520"/>
        <w:gridCol w:w="133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背 夹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(KBH-10)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162050" cy="2362200"/>
                  <wp:effectExtent l="0" t="0" r="635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 线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(KRA-27)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660400" cy="2444750"/>
                  <wp:effectExtent l="0" t="0" r="0" b="635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锂离子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电池</w:t>
            </w: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(KNB-45L)</w:t>
            </w:r>
          </w:p>
          <w:p>
            <w:pPr>
              <w:jc w:val="center"/>
              <w:rPr>
                <w:rFonts w:hint="default" w:ascii="Arial" w:hAnsi="Arial" w:eastAsiaTheme="minorEastAsia" w:cstheme="minorBidi"/>
                <w:b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(2000mAh)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drawing>
                <wp:inline distT="0" distB="0" distL="114300" distR="114300">
                  <wp:extent cx="1282700" cy="2336800"/>
                  <wp:effectExtent l="0" t="0" r="0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23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快速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充电器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(KSC-43)</w:t>
            </w:r>
          </w:p>
        </w:tc>
        <w:tc>
          <w:tcPr>
            <w:tcW w:w="6675" w:type="dxa"/>
            <w:gridSpan w:val="3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4100830" cy="2729230"/>
                  <wp:effectExtent l="0" t="0" r="1270" b="127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0830" cy="272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/>
          <w:b/>
          <w:sz w:val="40"/>
          <w:szCs w:val="4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280"/>
      </w:tabs>
      <w:spacing w:line="180" w:lineRule="exact"/>
      <w:ind w:right="360"/>
      <w:rPr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版权所有</w:t>
    </w:r>
    <w:r>
      <w:rPr>
        <w:rStyle w:val="11"/>
        <w:rFonts w:hint="eastAsia" w:eastAsia="楷体_GB2312"/>
      </w:rPr>
      <w:t>©</w:t>
    </w:r>
    <w:r>
      <w:rPr>
        <w:rStyle w:val="11"/>
        <w:rFonts w:hint="eastAsia" w:ascii="楷体_GB2312" w:eastAsia="楷体_GB2312"/>
      </w:rPr>
      <w:t xml:space="preserve"> </w:t>
    </w:r>
    <w:r>
      <w:rPr>
        <w:rFonts w:hint="eastAsia" w:ascii="楷体_GB2312" w:eastAsia="楷体_GB2312"/>
      </w:rPr>
      <w:fldChar w:fldCharType="begin"/>
    </w:r>
    <w:r>
      <w:rPr>
        <w:rStyle w:val="11"/>
        <w:rFonts w:hint="eastAsia" w:ascii="楷体_GB2312" w:eastAsia="楷体_GB2312"/>
      </w:rPr>
      <w:instrText xml:space="preserve"> DATE \@ "yyyy" </w:instrText>
    </w:r>
    <w:r>
      <w:rPr>
        <w:rFonts w:hint="eastAsia" w:ascii="楷体_GB2312" w:eastAsia="楷体_GB2312"/>
      </w:rPr>
      <w:fldChar w:fldCharType="separate"/>
    </w:r>
    <w:r>
      <w:rPr>
        <w:rStyle w:val="11"/>
        <w:rFonts w:hint="eastAsia" w:ascii="楷体_GB2312" w:eastAsia="楷体_GB2312"/>
      </w:rPr>
      <w:t>2023</w:t>
    </w:r>
    <w:r>
      <w:rPr>
        <w:rFonts w:hint="eastAsia" w:ascii="楷体_GB2312" w:eastAsia="楷体_GB2312"/>
      </w:rPr>
      <w:fldChar w:fldCharType="end"/>
    </w:r>
    <w:r>
      <w:rPr>
        <w:rStyle w:val="11"/>
        <w:rFonts w:hint="eastAsia" w:ascii="楷体_GB2312" w:eastAsia="楷体_GB2312"/>
      </w:rPr>
      <w:t xml:space="preserve"> www.kenwood.com</w:t>
    </w:r>
    <w:r>
      <w:rPr>
        <w:rFonts w:hint="eastAsia" w:ascii="楷体_GB2312" w:eastAsia="楷体_GB2312"/>
      </w:rPr>
      <w:t xml:space="preserve">                                                                             </w:t>
    </w:r>
  </w:p>
  <w:p>
    <w:pPr>
      <w:pStyle w:val="6"/>
      <w:spacing w:line="180" w:lineRule="exact"/>
    </w:pPr>
    <w:r>
      <w:rPr>
        <w:rStyle w:val="11"/>
        <w:rFonts w:hint="eastAsia" w:ascii="楷体_GB2312" w:eastAsia="楷体_GB2312"/>
      </w:rPr>
      <w:t>内部保密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right"/>
    </w:pPr>
    <w:r>
      <w:rPr>
        <w:u w:val="none"/>
      </w:rPr>
      <w:drawing>
        <wp:inline distT="0" distB="0" distL="114300" distR="114300">
          <wp:extent cx="1390015" cy="315595"/>
          <wp:effectExtent l="0" t="0" r="6985" b="1905"/>
          <wp:docPr id="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01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446E6"/>
    <w:multiLevelType w:val="multilevel"/>
    <w:tmpl w:val="283446E6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1">
    <w:nsid w:val="2E88D84D"/>
    <w:multiLevelType w:val="multilevel"/>
    <w:tmpl w:val="2E88D84D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2">
    <w:nsid w:val="64421996"/>
    <w:multiLevelType w:val="multilevel"/>
    <w:tmpl w:val="64421996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NTJiZmZlN2QxMTJmYTM2ZTkwMWU2NTFiOTUzY2YifQ=="/>
  </w:docVars>
  <w:rsids>
    <w:rsidRoot w:val="00000000"/>
    <w:rsid w:val="017512B4"/>
    <w:rsid w:val="05243941"/>
    <w:rsid w:val="05FE23E4"/>
    <w:rsid w:val="07C75183"/>
    <w:rsid w:val="08F71A98"/>
    <w:rsid w:val="0A5E78F5"/>
    <w:rsid w:val="0D412B99"/>
    <w:rsid w:val="111425F0"/>
    <w:rsid w:val="11C00EF4"/>
    <w:rsid w:val="155C2C83"/>
    <w:rsid w:val="16B32D77"/>
    <w:rsid w:val="16E11692"/>
    <w:rsid w:val="16E66D61"/>
    <w:rsid w:val="1A7B3BAB"/>
    <w:rsid w:val="1DD2442A"/>
    <w:rsid w:val="1EDB024B"/>
    <w:rsid w:val="21294361"/>
    <w:rsid w:val="21AD6D40"/>
    <w:rsid w:val="21CE6CB6"/>
    <w:rsid w:val="22BD7457"/>
    <w:rsid w:val="23221D32"/>
    <w:rsid w:val="243E6375"/>
    <w:rsid w:val="25900E53"/>
    <w:rsid w:val="275B0FEC"/>
    <w:rsid w:val="27CC3C98"/>
    <w:rsid w:val="295A4B60"/>
    <w:rsid w:val="2C574478"/>
    <w:rsid w:val="2C8B4122"/>
    <w:rsid w:val="2E0A551A"/>
    <w:rsid w:val="311A5FF2"/>
    <w:rsid w:val="31777D04"/>
    <w:rsid w:val="320F6A40"/>
    <w:rsid w:val="33313908"/>
    <w:rsid w:val="336D632F"/>
    <w:rsid w:val="34080E52"/>
    <w:rsid w:val="360D0EC3"/>
    <w:rsid w:val="38E10620"/>
    <w:rsid w:val="3A856654"/>
    <w:rsid w:val="3F514D57"/>
    <w:rsid w:val="40AC33F3"/>
    <w:rsid w:val="44E977E0"/>
    <w:rsid w:val="488717E9"/>
    <w:rsid w:val="48C52312"/>
    <w:rsid w:val="4A4756D4"/>
    <w:rsid w:val="4B180E1F"/>
    <w:rsid w:val="4C082C41"/>
    <w:rsid w:val="4DEA3E4D"/>
    <w:rsid w:val="4E8D61CF"/>
    <w:rsid w:val="4EAF439C"/>
    <w:rsid w:val="4FE85264"/>
    <w:rsid w:val="4FED4628"/>
    <w:rsid w:val="50267B3A"/>
    <w:rsid w:val="50AD6BE4"/>
    <w:rsid w:val="53051C89"/>
    <w:rsid w:val="56876E58"/>
    <w:rsid w:val="56D66003"/>
    <w:rsid w:val="589A10C5"/>
    <w:rsid w:val="58E40592"/>
    <w:rsid w:val="596A4F3B"/>
    <w:rsid w:val="5B0D4D70"/>
    <w:rsid w:val="5B7756EE"/>
    <w:rsid w:val="5D9933F8"/>
    <w:rsid w:val="5E624433"/>
    <w:rsid w:val="61AD3208"/>
    <w:rsid w:val="623F4797"/>
    <w:rsid w:val="627B5AC3"/>
    <w:rsid w:val="63612F0B"/>
    <w:rsid w:val="65B5753E"/>
    <w:rsid w:val="65E322FD"/>
    <w:rsid w:val="69DA174D"/>
    <w:rsid w:val="69E71C90"/>
    <w:rsid w:val="69E91EAC"/>
    <w:rsid w:val="6ADD44FB"/>
    <w:rsid w:val="6DFE57FA"/>
    <w:rsid w:val="6F9208F0"/>
    <w:rsid w:val="70217FA0"/>
    <w:rsid w:val="70FD5001"/>
    <w:rsid w:val="71600616"/>
    <w:rsid w:val="71F77B8E"/>
    <w:rsid w:val="726B39D4"/>
    <w:rsid w:val="72A526E9"/>
    <w:rsid w:val="72B4226D"/>
    <w:rsid w:val="730330CF"/>
    <w:rsid w:val="752A2293"/>
    <w:rsid w:val="77277E53"/>
    <w:rsid w:val="779A6594"/>
    <w:rsid w:val="77D777E8"/>
    <w:rsid w:val="79224A93"/>
    <w:rsid w:val="7C41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480" w:line="288" w:lineRule="auto"/>
      <w:ind w:left="1247" w:hanging="1247"/>
      <w:jc w:val="both"/>
      <w:outlineLvl w:val="0"/>
    </w:pPr>
    <w:rPr>
      <w:rFonts w:ascii="Arial" w:hAnsi="Arial" w:eastAsia="宋体" w:cstheme="minorBidi"/>
      <w:b/>
      <w:bCs/>
      <w:kern w:val="44"/>
      <w:sz w:val="36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4"/>
    <w:next w:val="1"/>
    <w:unhideWhenUsed/>
    <w:qFormat/>
    <w:uiPriority w:val="39"/>
    <w:pPr>
      <w:tabs>
        <w:tab w:val="left" w:pos="420"/>
        <w:tab w:val="left" w:pos="567"/>
        <w:tab w:val="left" w:pos="1134"/>
        <w:tab w:val="left" w:pos="1777"/>
        <w:tab w:val="right" w:leader="dot" w:pos="8789"/>
        <w:tab w:val="right" w:leader="dot" w:pos="9062"/>
      </w:tabs>
      <w:ind w:left="1701" w:right="34" w:hanging="567"/>
    </w:pPr>
  </w:style>
  <w:style w:type="paragraph" w:styleId="4">
    <w:name w:val="toc 2"/>
    <w:basedOn w:val="5"/>
    <w:next w:val="1"/>
    <w:unhideWhenUsed/>
    <w:qFormat/>
    <w:uiPriority w:val="39"/>
    <w:pPr>
      <w:tabs>
        <w:tab w:val="left" w:pos="420"/>
        <w:tab w:val="left" w:pos="567"/>
        <w:tab w:val="left" w:pos="1134"/>
        <w:tab w:val="right" w:leader="dot" w:pos="8789"/>
        <w:tab w:val="right" w:leader="dot" w:pos="9062"/>
      </w:tabs>
      <w:spacing w:before="120"/>
      <w:ind w:left="1276" w:right="907" w:hanging="709"/>
    </w:pPr>
    <w:rPr>
      <w:b w:val="0"/>
    </w:rPr>
  </w:style>
  <w:style w:type="paragraph" w:styleId="5">
    <w:name w:val="toc 1"/>
    <w:basedOn w:val="1"/>
    <w:next w:val="4"/>
    <w:unhideWhenUsed/>
    <w:qFormat/>
    <w:uiPriority w:val="39"/>
    <w:pPr>
      <w:keepNext/>
      <w:widowControl/>
      <w:tabs>
        <w:tab w:val="left" w:pos="420"/>
        <w:tab w:val="left" w:pos="567"/>
        <w:tab w:val="right" w:leader="dot" w:pos="8789"/>
        <w:tab w:val="right" w:leader="dot" w:pos="9062"/>
      </w:tabs>
      <w:spacing w:before="360"/>
      <w:ind w:left="567" w:right="34" w:hanging="425"/>
      <w:jc w:val="left"/>
    </w:pPr>
    <w:rPr>
      <w:b/>
      <w:kern w:val="0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OC Heading"/>
    <w:basedOn w:val="1"/>
    <w:unhideWhenUsed/>
    <w:qFormat/>
    <w:uiPriority w:val="39"/>
    <w:pPr>
      <w:keepNext/>
      <w:widowControl/>
      <w:spacing w:before="840" w:after="240"/>
      <w:jc w:val="left"/>
    </w:pPr>
    <w:rPr>
      <w:rFonts w:cstheme="majorBidi"/>
      <w:b/>
      <w:spacing w:val="10"/>
      <w:kern w:val="20"/>
      <w:sz w:val="40"/>
      <w:szCs w:val="2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1325</Words>
  <Characters>1855</Characters>
  <Lines>0</Lines>
  <Paragraphs>0</Paragraphs>
  <TotalTime>0</TotalTime>
  <ScaleCrop>false</ScaleCrop>
  <LinksUpToDate>false</LinksUpToDate>
  <CharactersWithSpaces>1964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2022-12-09T08:53:00Z</dcterms:created>
  <dc:creator>上海汉界通信工程有限公司</dc:creator>
  <cp:lastModifiedBy>无线对讲系统-徐工13918677771</cp:lastModifiedBy>
  <dcterms:modified xsi:type="dcterms:W3CDTF">2023-04-26T01:01:29Z</dcterms:modified>
  <dc:title>NX-1308N-C3数字对讲机
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A173627EB58C4F35ABE33FBE9DB0A2D3</vt:lpwstr>
  </property>
</Properties>
</file>