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NX-3300-1数字对讲机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NX-3300-1数字对讲机产品规格书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tabs>
          <w:tab w:val="left" w:pos="4928"/>
        </w:tabs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ab/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</w:t>
      </w:r>
      <w:r>
        <w:rPr>
          <w:rFonts w:hint="eastAsia" w:ascii="宋体" w:hAnsi="宋体" w:eastAsia="宋体" w:cs="宋体"/>
          <w:color w:val="FF0000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p>
      <w:pPr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；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9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968500" cy="6309360"/>
            <wp:effectExtent l="0" t="0" r="0" b="2540"/>
            <wp:docPr id="7" name="图片 7" descr="NX-3000_HT_Univ_FKY_FT_KRA27_57L_GR_LH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NX-3000_HT_Univ_FKY_FT_KRA27_57L_GR_LH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036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1000" cy="1297305"/>
                  <wp:effectExtent l="0" t="0" r="0" b="10795"/>
                  <wp:docPr id="11" name="图片 11" descr="NX-3000_HT_2P_FKY_LightBar_M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-3000_HT_2P_FKY_LightBar_MG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89430" cy="1376680"/>
                  <wp:effectExtent l="0" t="0" r="1270" b="7620"/>
                  <wp:docPr id="8" name="图片 8" descr="NX-3000_HT_2P_FKY_BT_57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-3000_HT_2P_FKY_BT_57L_G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853440" cy="1525270"/>
                  <wp:effectExtent l="0" t="0" r="10160" b="11430"/>
                  <wp:docPr id="6" name="图片 6" descr="NX-3000_HT_Univ_FKY_CONN_KRA22_55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NX-3000_HT_Univ_FKY_CONN_KRA22_55L_G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152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通用特征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UHF频率范围宽达120MHz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内置GPS接收机芯片，可实现GPS定位功能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内置蓝牙组件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支持蓝牙耳机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蓝牙串行数据传输(选件)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4行全点阵显示屏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可显示中文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</w:rPr>
        <w:t>英文、数字、图标等信息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7色LED指示灯提示不同的工作状态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7个可编程键+4方向键+12键制键盘，使用灵活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内置AMBE+2声码器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内置紧急报警功能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包括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手动触发报警、倒地报警、剧烈晃动报警、超时静止报警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内置单兵作业安全提示功能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具有语音提示功能</w:t>
      </w:r>
      <w:r>
        <w:rPr>
          <w:rFonts w:hint="eastAsia" w:ascii="Arial" w:hAnsi="Arial" w:eastAsia="宋体"/>
          <w:color w:val="FF0000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</w:rPr>
        <w:t>并且可编辑语音输入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录音/回放功能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分段录音，总长600秒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空中写频功能(选件)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采用14针多功能插座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支持扩展应用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采用主动消噪技术(ANR)，保证优异的语音质量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auto"/>
          <w:szCs w:val="22"/>
        </w:rPr>
      </w:pPr>
      <w:r>
        <w:rPr>
          <w:rFonts w:hint="eastAsia" w:ascii="Arial" w:hAnsi="Arial" w:eastAsia="宋体"/>
          <w:color w:val="auto"/>
          <w:szCs w:val="22"/>
        </w:rPr>
        <w:t>坚固耐用</w:t>
      </w:r>
      <w:r>
        <w:rPr>
          <w:rFonts w:hint="eastAsia" w:ascii="Arial" w:hAnsi="Arial" w:eastAsia="宋体"/>
          <w:color w:val="auto"/>
          <w:szCs w:val="22"/>
          <w:lang w:eastAsia="zh-CN"/>
        </w:rPr>
        <w:t>，</w:t>
      </w:r>
      <w:r>
        <w:rPr>
          <w:rFonts w:hint="eastAsia" w:ascii="Arial" w:hAnsi="Arial" w:eastAsia="宋体"/>
          <w:color w:val="auto"/>
          <w:szCs w:val="22"/>
        </w:rPr>
        <w:t>符合美国军用标准MIL-STD810 C/D/E/F/G 1</w:t>
      </w:r>
      <w:r>
        <w:rPr>
          <w:rFonts w:hint="eastAsia" w:ascii="Arial" w:hAnsi="Arial" w:eastAsia="宋体"/>
          <w:color w:val="auto"/>
          <w:szCs w:val="22"/>
          <w:lang w:val="en-US" w:eastAsia="zh-CN"/>
        </w:rPr>
        <w:t>2</w:t>
      </w:r>
      <w:r>
        <w:rPr>
          <w:rFonts w:hint="eastAsia" w:ascii="Arial" w:hAnsi="Arial" w:eastAsia="宋体"/>
          <w:color w:val="auto"/>
          <w:szCs w:val="22"/>
        </w:rPr>
        <w:t>项环境试验标准</w:t>
      </w:r>
      <w:r>
        <w:rPr>
          <w:rFonts w:hint="eastAsia" w:ascii="Arial" w:hAnsi="Arial" w:eastAsia="宋体"/>
          <w:color w:val="auto"/>
          <w:szCs w:val="22"/>
          <w:lang w:eastAsia="zh-CN"/>
        </w:rPr>
        <w:t>，</w:t>
      </w:r>
      <w:r>
        <w:rPr>
          <w:rFonts w:hint="eastAsia" w:ascii="Arial" w:hAnsi="Arial" w:eastAsia="宋体"/>
          <w:color w:val="auto"/>
          <w:szCs w:val="22"/>
        </w:rPr>
        <w:t>防尘和防水通过国际标准IP67的测试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场强测试功能，</w:t>
      </w:r>
      <w:r>
        <w:rPr>
          <w:rFonts w:hint="eastAsia" w:ascii="Arial" w:hAnsi="Arial" w:eastAsia="宋体"/>
          <w:color w:val="FF0000"/>
          <w:szCs w:val="22"/>
        </w:rPr>
        <w:t>能够检测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来自基站当前频道的场强</w:t>
      </w:r>
      <w:r>
        <w:rPr>
          <w:rFonts w:hint="eastAsia" w:ascii="Arial" w:hAnsi="Arial" w:eastAsia="宋体"/>
          <w:color w:val="FF0000"/>
          <w:szCs w:val="22"/>
        </w:rPr>
        <w:t>信号，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为场所信号覆盖提供直观数据参考，进而改善网络覆盖质量；</w:t>
      </w:r>
    </w:p>
    <w:p>
      <w:pPr>
        <w:pStyle w:val="13"/>
        <w:numPr>
          <w:ilvl w:val="0"/>
          <w:numId w:val="0"/>
        </w:numPr>
        <w:ind w:left="840" w:leftChars="0" w:firstLine="420" w:firstLineChars="20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数字-DMR模式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符合ETSI DMR 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 xml:space="preserve">II 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III标准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支持接入</w:t>
      </w:r>
      <w:r>
        <w:rPr>
          <w:rFonts w:hint="eastAsia" w:ascii="Arial" w:hAnsi="Arial" w:eastAsia="宋体"/>
          <w:color w:val="FF0000"/>
          <w:szCs w:val="22"/>
        </w:rPr>
        <w:t>Tier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color w:val="FF0000"/>
          <w:szCs w:val="22"/>
        </w:rPr>
        <w:t>III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专业集群系统；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12.5kHz载频2时隙TDMA方式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个别呼叫，组呼，全呼，广播呼叫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状态信息，文本信息，GPS数据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  <w:lang w:val="en-US" w:eastAsia="zh-CN"/>
        </w:rPr>
        <w:t>蓝牙数据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具有呼叫强拆功能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直通模式下双时隙通信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内置15bit数字加密和DMR标准的ARC4 40bit加密功能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数字-NXDN模式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超窄带FDMA方式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6.25kHz信道间隔和12.5kHz信道间隔可编程选择设置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使用灵活,频谱利用率高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个别选呼，组呼，全呼，广播呼叫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 (短数据，长数据)，数据透明传输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</w:rPr>
        <w:t>GPS数据</w:t>
      </w:r>
      <w:r>
        <w:rPr>
          <w:rFonts w:hint="eastAsia" w:ascii="Arial" w:hAnsi="Arial" w:eastAsia="宋体"/>
          <w:szCs w:val="22"/>
          <w:lang w:eastAsia="zh-CN"/>
        </w:rPr>
        <w:t>、</w:t>
      </w:r>
      <w:r>
        <w:rPr>
          <w:rFonts w:hint="eastAsia" w:ascii="Arial" w:hAnsi="Arial" w:eastAsia="宋体"/>
          <w:szCs w:val="22"/>
          <w:lang w:val="en-US" w:eastAsia="zh-CN"/>
        </w:rPr>
        <w:t>蓝牙数据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具有15bit的语音加密功能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呼叫方将自己的别名或ID发送到接收方显示出来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数字常规模式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数字/模拟混合工作模式，双模双待，自适应响应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63个RAN码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NEXEDGE C型数字集群和Gen2数字集群(</w:t>
      </w:r>
      <w:r>
        <w:rPr>
          <w:rFonts w:hint="eastAsia" w:ascii="Arial" w:hAnsi="Arial" w:eastAsia="宋体"/>
          <w:szCs w:val="22"/>
          <w:lang w:val="en-US" w:eastAsia="zh-CN"/>
        </w:rPr>
        <w:t>选件</w:t>
      </w:r>
      <w:r>
        <w:rPr>
          <w:rFonts w:hint="eastAsia" w:ascii="Arial" w:hAnsi="Arial" w:eastAsia="宋体"/>
          <w:szCs w:val="22"/>
        </w:rPr>
        <w:t>)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优先呼叫(可分8个级别)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延迟加入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遇忙排队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4个优先接收ID实现强插通信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动态重组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ESN验证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自动登记，漫游通信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1470" w:leftChars="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支持模拟常规模式和LTR集群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PTT-ID/ANI/呼叫方ID显示功能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内置多种信令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 xml:space="preserve"> QT/DQT编码和解码，DTMF编码/解码，FleetSync/ FleetSync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ll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MDC1200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840" w:leftChars="0"/>
        <w:jc w:val="left"/>
        <w:rPr>
          <w:rFonts w:hint="eastAsia" w:ascii="Arial" w:hAnsi="Arial" w:eastAsia="宋体"/>
          <w:szCs w:val="22"/>
          <w:lang w:val="en-US" w:eastAsia="zh-CN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  <w:bookmarkStart w:id="6" w:name="_GoBack"/>
      <w:bookmarkEnd w:id="6"/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225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512(标配），1000（选件）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电池使用时间（FDMA/TDMA)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5-5-90工作循环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约13.5小时（KNB-57L电池）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56x119.6x36.4mm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56x119.6x39mm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重量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支持标准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301 489-3，EN 301 489-5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300 113，EN 300 219,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300 328，EN 300 440，EN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60065，EN 60215，EN 60950-1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3%误码率（6.25kHz/12.5kHz）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0.20μV/0.25μV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1%识码率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0.32μV/0.45μV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5%识码率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1%识码率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0.45μV/0.35μV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68dB/76dB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内置扬声器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高5W/中4W/低1W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-36dBm≤1GHz，-30dBm&gt;1GHcz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剩余调频(模拟)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1-A，NXDN TS 1-B，NXDN TS 1-C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1-D，NXDN TS 1-E，NXDN TS 1-F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ETSITS102 361-1，-2，-3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16KOF3E，8K5F3E，8K30F1E，8K30F1D8K30F7W，7K50F2D，7K60FXE，7K60FXD4K00F1E，4K00F1D，4K00F7W，4K00F2D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上述数据是典型值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固件和软件的升级细节和时间是不固定的，恕不预先通知</w:t>
      </w:r>
      <w:r>
        <w:rPr>
          <w:rFonts w:hint="eastAsia"/>
          <w:lang w:eastAsia="zh-CN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由于技术不断地发展，以上数据有可能变更，恕不预先通知</w:t>
      </w:r>
      <w:r>
        <w:rPr>
          <w:rFonts w:hint="eastAsia"/>
          <w:lang w:eastAsia="zh-CN"/>
        </w:rPr>
        <w:t>；</w:t>
      </w:r>
    </w:p>
    <w:p/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5208"/>
      <w:bookmarkStart w:id="4" w:name="_Toc30620"/>
      <w:bookmarkStart w:id="5" w:name="_Toc14004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(KBH-11)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5" name="图片 5" descr="IMG_8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84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(KRA-27)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(KNB-57L)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9" name="图片 9" descr="IMG_8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84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(KSC-25LS)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581400" cy="21399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89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3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DE2DDD"/>
    <w:rsid w:val="017512B4"/>
    <w:rsid w:val="031C2553"/>
    <w:rsid w:val="05243941"/>
    <w:rsid w:val="05FE23E4"/>
    <w:rsid w:val="07C75183"/>
    <w:rsid w:val="08F71A98"/>
    <w:rsid w:val="0B0B3FEF"/>
    <w:rsid w:val="0F8910A9"/>
    <w:rsid w:val="111425F0"/>
    <w:rsid w:val="145D3689"/>
    <w:rsid w:val="155C2C83"/>
    <w:rsid w:val="163C6D3C"/>
    <w:rsid w:val="16B32D77"/>
    <w:rsid w:val="16E11692"/>
    <w:rsid w:val="16E66D61"/>
    <w:rsid w:val="17702A7F"/>
    <w:rsid w:val="1A7B3BAB"/>
    <w:rsid w:val="1C36219D"/>
    <w:rsid w:val="1DD2442A"/>
    <w:rsid w:val="1E34479D"/>
    <w:rsid w:val="1E94348E"/>
    <w:rsid w:val="1FA932E3"/>
    <w:rsid w:val="209459C7"/>
    <w:rsid w:val="20A37208"/>
    <w:rsid w:val="21294361"/>
    <w:rsid w:val="21AD6D40"/>
    <w:rsid w:val="21CE6CB6"/>
    <w:rsid w:val="22BD7457"/>
    <w:rsid w:val="23AC53CD"/>
    <w:rsid w:val="243E6375"/>
    <w:rsid w:val="25900E53"/>
    <w:rsid w:val="272555CB"/>
    <w:rsid w:val="275B0FEC"/>
    <w:rsid w:val="27A91D58"/>
    <w:rsid w:val="27CC3C98"/>
    <w:rsid w:val="29C10D80"/>
    <w:rsid w:val="2AF73935"/>
    <w:rsid w:val="2B9E594C"/>
    <w:rsid w:val="2C574478"/>
    <w:rsid w:val="2E0A551A"/>
    <w:rsid w:val="302A1433"/>
    <w:rsid w:val="311A5FF2"/>
    <w:rsid w:val="31777D04"/>
    <w:rsid w:val="320F6A40"/>
    <w:rsid w:val="32A970B0"/>
    <w:rsid w:val="33313908"/>
    <w:rsid w:val="336D632F"/>
    <w:rsid w:val="34080E52"/>
    <w:rsid w:val="36B1347B"/>
    <w:rsid w:val="37385DE2"/>
    <w:rsid w:val="377F2724"/>
    <w:rsid w:val="3831701C"/>
    <w:rsid w:val="383C7CBE"/>
    <w:rsid w:val="38B44753"/>
    <w:rsid w:val="3C522566"/>
    <w:rsid w:val="3D601A89"/>
    <w:rsid w:val="3EB412B6"/>
    <w:rsid w:val="3F514D57"/>
    <w:rsid w:val="41760D5E"/>
    <w:rsid w:val="44E977E0"/>
    <w:rsid w:val="48022966"/>
    <w:rsid w:val="488717E9"/>
    <w:rsid w:val="48C52312"/>
    <w:rsid w:val="4A4756D4"/>
    <w:rsid w:val="4A53205B"/>
    <w:rsid w:val="4B180E1F"/>
    <w:rsid w:val="4C082C41"/>
    <w:rsid w:val="4E5E4D9B"/>
    <w:rsid w:val="4E8D61CF"/>
    <w:rsid w:val="4EAF439C"/>
    <w:rsid w:val="4F075432"/>
    <w:rsid w:val="4FED4628"/>
    <w:rsid w:val="50267B3A"/>
    <w:rsid w:val="506A1680"/>
    <w:rsid w:val="50AD6BE4"/>
    <w:rsid w:val="53051C89"/>
    <w:rsid w:val="531445C2"/>
    <w:rsid w:val="538F59F6"/>
    <w:rsid w:val="55637EC7"/>
    <w:rsid w:val="55D01046"/>
    <w:rsid w:val="56876E58"/>
    <w:rsid w:val="56D66003"/>
    <w:rsid w:val="587632DC"/>
    <w:rsid w:val="58885441"/>
    <w:rsid w:val="589A10C5"/>
    <w:rsid w:val="58E40592"/>
    <w:rsid w:val="596A4F3B"/>
    <w:rsid w:val="5AA47FC5"/>
    <w:rsid w:val="5B0D4D70"/>
    <w:rsid w:val="5B7756EE"/>
    <w:rsid w:val="5D9933F8"/>
    <w:rsid w:val="5E624433"/>
    <w:rsid w:val="603F4D07"/>
    <w:rsid w:val="61AD3208"/>
    <w:rsid w:val="621C0D9D"/>
    <w:rsid w:val="627B5AC3"/>
    <w:rsid w:val="63612F0B"/>
    <w:rsid w:val="65226971"/>
    <w:rsid w:val="65B5753E"/>
    <w:rsid w:val="65E322FD"/>
    <w:rsid w:val="69DA174D"/>
    <w:rsid w:val="69E71C90"/>
    <w:rsid w:val="69E91EAC"/>
    <w:rsid w:val="6ADD44FB"/>
    <w:rsid w:val="6B480E55"/>
    <w:rsid w:val="6D102A05"/>
    <w:rsid w:val="6D260D22"/>
    <w:rsid w:val="6DFE57FA"/>
    <w:rsid w:val="6EC72405"/>
    <w:rsid w:val="6F9208F0"/>
    <w:rsid w:val="70076BE8"/>
    <w:rsid w:val="70180E6A"/>
    <w:rsid w:val="70217FA0"/>
    <w:rsid w:val="712D50B1"/>
    <w:rsid w:val="726B39D4"/>
    <w:rsid w:val="72A526E9"/>
    <w:rsid w:val="752A2293"/>
    <w:rsid w:val="77277E53"/>
    <w:rsid w:val="779A6594"/>
    <w:rsid w:val="77D777E8"/>
    <w:rsid w:val="79224A93"/>
    <w:rsid w:val="79A03FCF"/>
    <w:rsid w:val="7C413482"/>
    <w:rsid w:val="7C5E16DD"/>
    <w:rsid w:val="7C9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1549</Words>
  <Characters>2455</Characters>
  <Lines>0</Lines>
  <Paragraphs>0</Paragraphs>
  <TotalTime>1</TotalTime>
  <ScaleCrop>false</ScaleCrop>
  <LinksUpToDate>false</LinksUpToDate>
  <CharactersWithSpaces>2575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2023-04-26T01:17:51Z</dcterms:modified>
  <dc:title>NX-3300-1数字对讲机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