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162300" cy="717550"/>
            <wp:effectExtent l="0" t="0" r="0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sdt>
      <w:sdtPr>
        <w:rPr>
          <w:b/>
          <w:sz w:val="64"/>
          <w:szCs w:val="64"/>
          <w:lang w:val="en-US"/>
        </w:rPr>
        <w:alias w:val="Document Title"/>
        <w:tag w:val="Cover_Document_Title"/>
        <w:id w:val="37766366"/>
        <w:lock w:val="sdtLocked"/>
      </w:sdtPr>
      <w:sdtEndPr>
        <w:rPr>
          <w:b/>
          <w:color w:val="0000FF"/>
          <w:sz w:val="56"/>
          <w:szCs w:val="56"/>
          <w:lang w:val="en-US"/>
        </w:rPr>
      </w:sdtEndPr>
      <w:sdtContent>
        <w:sdt>
          <w:sdtPr>
            <w:rPr>
              <w:rFonts w:hint="eastAsia"/>
              <w:b/>
              <w:sz w:val="64"/>
              <w:szCs w:val="64"/>
              <w:lang w:val="en-US"/>
            </w:rPr>
            <w:alias w:val="标题"/>
            <w:tag w:val="标题"/>
            <w:id w:val="382771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 w:multiLine="1"/>
          </w:sdtPr>
          <w:sdtEndPr>
            <w:rPr>
              <w:rFonts w:hint="eastAsia"/>
              <w:b/>
              <w:color w:val="0000FF"/>
              <w:sz w:val="56"/>
              <w:szCs w:val="56"/>
              <w:lang w:val="en-US"/>
            </w:rPr>
          </w:sdtEndPr>
          <w:sdtContent>
            <w:p>
              <w:pPr>
                <w:rPr>
                  <w:b/>
                  <w:color w:val="0000FF"/>
                  <w:sz w:val="56"/>
                  <w:szCs w:val="56"/>
                  <w:lang w:val="en-US"/>
                </w:rPr>
              </w:pP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NX-3220-C3数字对讲机</w:t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br w:type="textWrapping"/>
              </w:r>
              <w:r>
                <w:rPr>
                  <w:rFonts w:hint="eastAsia"/>
                  <w:b/>
                  <w:sz w:val="64"/>
                  <w:szCs w:val="64"/>
                  <w:lang w:val="en-US" w:eastAsia="zh-CN"/>
                </w:rPr>
                <w:t>产品规格书</w:t>
              </w:r>
            </w:p>
          </w:sdtContent>
        </w:sdt>
      </w:sdtContent>
    </w:sdt>
    <w:sdt>
      <w:sdtPr>
        <w:rPr>
          <w:rFonts w:hint="eastAsia"/>
          <w:b/>
          <w:sz w:val="40"/>
          <w:szCs w:val="40"/>
          <w:lang w:eastAsia="zh-CN"/>
        </w:rPr>
        <w:alias w:val="Project Name"/>
        <w:tag w:val="Cover_Project_Name"/>
        <w:id w:val="37766369"/>
        <w:lock w:val="sdtLocked"/>
      </w:sdtPr>
      <w:sdtEndPr>
        <w:rPr>
          <w:rFonts w:hint="eastAsia"/>
          <w:b/>
          <w:sz w:val="64"/>
          <w:szCs w:val="64"/>
          <w:lang w:eastAsia="zh-CN"/>
        </w:rPr>
      </w:sdtEndPr>
      <w:sdtContent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spacing w:beforeLines="100"/>
            <w:outlineLvl w:val="9"/>
            <w:rPr>
              <w:rFonts w:hint="eastAsia"/>
              <w:b/>
              <w:sz w:val="40"/>
              <w:szCs w:val="40"/>
              <w:lang w:eastAsia="zh-CN"/>
            </w:rPr>
          </w:pPr>
        </w:p>
        <w:p>
          <w:pPr>
            <w:rPr>
              <w:rFonts w:hint="eastAsia"/>
              <w:b/>
              <w:sz w:val="64"/>
              <w:szCs w:val="64"/>
              <w:lang w:eastAsia="zh-CN"/>
            </w:rPr>
          </w:pPr>
          <w:r>
            <w:rPr>
              <w:rFonts w:hint="eastAsia"/>
              <w:b/>
              <w:sz w:val="40"/>
              <w:szCs w:val="40"/>
              <w:lang w:val="en-US" w:eastAsia="zh-CN"/>
            </w:rPr>
            <w:t>建伍</w:t>
          </w:r>
          <w:r>
            <w:rPr>
              <w:rFonts w:hint="eastAsia"/>
              <w:b/>
              <w:sz w:val="40"/>
              <w:szCs w:val="40"/>
              <w:lang w:eastAsia="zh-CN"/>
            </w:rPr>
            <w:t>终端产品线</w:t>
          </w:r>
        </w:p>
      </w:sdtContent>
    </w:sdt>
    <w:sdt>
      <w:sdtPr>
        <w:rPr>
          <w:b/>
          <w:sz w:val="40"/>
          <w:szCs w:val="40"/>
        </w:rPr>
        <w:alias w:val="标题"/>
        <w:id w:val="382772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  <w:b/>
          <w:sz w:val="40"/>
          <w:szCs w:val="40"/>
        </w:rPr>
      </w:sdtEndPr>
      <w:sdtContent>
        <w:p>
          <w:pPr>
            <w:rPr>
              <w:rFonts w:hint="eastAsia"/>
              <w:b/>
              <w:sz w:val="40"/>
              <w:szCs w:val="40"/>
            </w:rPr>
          </w:pPr>
          <w:r>
            <w:rPr>
              <w:rFonts w:hint="eastAsia"/>
              <w:b/>
              <w:sz w:val="40"/>
              <w:szCs w:val="40"/>
              <w:lang w:eastAsia="zh-CN"/>
            </w:rPr>
            <w:t>NX-3220-C3数字对讲机产品规格书</w:t>
          </w:r>
        </w:p>
      </w:sdtContent>
    </w:sdt>
    <w:p>
      <w:pPr>
        <w:rPr>
          <w:rFonts w:hint="eastAsia"/>
          <w:b/>
          <w:sz w:val="40"/>
          <w:szCs w:val="40"/>
          <w:lang w:val="en-US" w:eastAsia="zh-CN"/>
        </w:rPr>
      </w:pPr>
    </w:p>
    <w:tbl>
      <w:tblPr>
        <w:tblStyle w:val="8"/>
        <w:tblW w:w="917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93"/>
        <w:gridCol w:w="1193"/>
        <w:gridCol w:w="1834"/>
        <w:gridCol w:w="3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版本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作者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审核者</w:t>
            </w:r>
          </w:p>
        </w:tc>
        <w:tc>
          <w:tcPr>
            <w:tcW w:w="3865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V1.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2022.12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kenwus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widowControl/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基线文档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right"/>
        </w:trPr>
        <w:tc>
          <w:tcPr>
            <w:tcW w:w="1092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865" w:type="dxa"/>
            <w:vAlign w:val="center"/>
          </w:tcPr>
          <w:p>
            <w:pPr>
              <w:jc w:val="left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版权所有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日本JVC建伍株式会社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保留所有权利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版权声明：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本文档著作权由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日本JVC建伍株式会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享有。</w:t>
      </w:r>
    </w:p>
    <w:p>
      <w:pPr>
        <w:rPr>
          <w:rFonts w:hint="eastAsia" w:ascii="宋体" w:hAnsi="宋体" w:eastAsia="宋体" w:cs="宋体"/>
          <w:color w:val="FF0000"/>
          <w:sz w:val="18"/>
          <w:szCs w:val="18"/>
        </w:rPr>
      </w:pPr>
      <w:r>
        <w:rPr>
          <w:rFonts w:hint="eastAsia" w:ascii="宋体" w:hAnsi="宋体" w:eastAsia="宋体" w:cs="宋体"/>
          <w:color w:val="FF0000"/>
          <w:sz w:val="18"/>
          <w:szCs w:val="18"/>
        </w:rPr>
        <w:t>本文档中的信息随着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KENWOOD建伍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产品和技术的进步将不断更新。由于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JVC KENWOOD集团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技术的不断发展，以上指标数据若有变更，以</w:t>
      </w:r>
      <w:r>
        <w:rPr>
          <w:rFonts w:hint="eastAsia" w:ascii="宋体" w:hAnsi="宋体" w:eastAsia="宋体" w:cs="宋体"/>
          <w:color w:val="FF0000"/>
          <w:sz w:val="18"/>
          <w:szCs w:val="18"/>
          <w:lang w:val="en-US" w:eastAsia="zh-CN"/>
        </w:rPr>
        <w:t>KENWOOD</w:t>
      </w:r>
      <w:r>
        <w:rPr>
          <w:rFonts w:hint="eastAsia" w:ascii="宋体" w:hAnsi="宋体" w:eastAsia="宋体" w:cs="宋体"/>
          <w:color w:val="FF0000"/>
          <w:sz w:val="18"/>
          <w:szCs w:val="18"/>
        </w:rPr>
        <w:t>的新发布资料为准，恕不另行通知。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NXDN®是JVCKENWOOD公司和ICOM公司的注册商标。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NEXEDGE®是JVCKENWOOD公司注册商标。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FleetSync®是JVCKENWOOD公司的注册商标。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AMBE+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2™</w:t>
      </w:r>
      <w:r>
        <w:rPr>
          <w:rFonts w:hint="eastAsia" w:ascii="宋体" w:hAnsi="宋体" w:eastAsia="宋体" w:cs="宋体"/>
          <w:sz w:val="18"/>
          <w:szCs w:val="18"/>
        </w:rPr>
        <w:t>是Digital Voice Systems Inc公司的注册商标。</w:t>
      </w:r>
    </w:p>
    <w:p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所有其他商标均为其各自持有人的财产。</w:t>
      </w:r>
    </w:p>
    <w:sdt>
      <w:sdtPr>
        <w:rPr>
          <w:rFonts w:asciiTheme="minorHAnsi" w:hAnsiTheme="minorHAnsi" w:eastAsiaTheme="minorEastAsia" w:cstheme="minorBidi"/>
          <w:b w:val="0"/>
          <w:spacing w:val="0"/>
          <w:kern w:val="2"/>
          <w:sz w:val="21"/>
          <w:szCs w:val="22"/>
        </w:rPr>
        <w:id w:val="877760"/>
      </w:sdtPr>
      <w:sdtEnd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sdtEndPr>
      <w:sdtContent>
        <w:p>
          <w:pPr>
            <w:pStyle w:val="12"/>
            <w:outlineLvl w:val="9"/>
          </w:pPr>
          <w:r>
            <w:t>目录</w:t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r>
            <w:fldChar w:fldCharType="begin"/>
          </w:r>
          <w:r>
            <w:instrText xml:space="preserve"> HYPERLINK \l _Toc26484 </w:instrText>
          </w:r>
          <w:r>
            <w:fldChar w:fldCharType="separate"/>
          </w:r>
          <w:r>
            <w:t xml:space="preserve">1 </w:t>
          </w:r>
          <w:r>
            <w:rPr>
              <w:rFonts w:hint="eastAsia"/>
              <w:lang w:eastAsia="zh-CN"/>
            </w:rPr>
            <w:t>产品外观</w:t>
          </w:r>
          <w:r>
            <w:tab/>
          </w:r>
          <w:r>
            <w:fldChar w:fldCharType="begin"/>
          </w:r>
          <w:r>
            <w:instrText xml:space="preserve"> PAGEREF _Toc26484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_Toc14348 </w:instrText>
          </w:r>
          <w:r>
            <w:fldChar w:fldCharType="separate"/>
          </w:r>
          <w:r>
            <w:rPr>
              <w:rFonts w:hint="eastAsia"/>
              <w:lang w:eastAsia="zh-CN"/>
            </w:rPr>
            <w:t>2 产品特点</w:t>
          </w:r>
          <w:r>
            <w:tab/>
          </w:r>
          <w:r>
            <w:fldChar w:fldCharType="begin"/>
          </w:r>
          <w:r>
            <w:instrText xml:space="preserve"> PAGEREF _Toc14348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</w:pPr>
          <w:r>
            <w:fldChar w:fldCharType="begin"/>
          </w:r>
          <w:r>
            <w:instrText xml:space="preserve"> HYPERLINK \l _Toc9930 </w:instrText>
          </w:r>
          <w:r>
            <w:fldChar w:fldCharType="separate"/>
          </w:r>
          <w:r>
            <w:rPr>
              <w:rFonts w:hint="eastAsia"/>
              <w:lang w:eastAsia="zh-CN"/>
            </w:rPr>
            <w:t>3 产品规格</w:t>
          </w:r>
          <w:r>
            <w:tab/>
          </w:r>
          <w:r>
            <w:rPr>
              <w:rFonts w:hint="eastAsia"/>
              <w:lang w:val="en-US" w:eastAsia="zh-CN"/>
            </w:rPr>
            <w:t>7</w:t>
          </w:r>
          <w:r>
            <w:fldChar w:fldCharType="end"/>
          </w:r>
        </w:p>
        <w:p>
          <w:pPr>
            <w:pStyle w:val="5"/>
            <w:tabs>
              <w:tab w:val="right" w:leader="dot" w:pos="9072"/>
              <w:tab w:val="clear" w:pos="420"/>
              <w:tab w:val="clear" w:pos="567"/>
              <w:tab w:val="clear" w:pos="8789"/>
              <w:tab w:val="clear" w:pos="9062"/>
            </w:tabs>
            <w:rPr>
              <w:rFonts w:hint="eastAsia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_Toc14004 </w:instrText>
          </w:r>
          <w:r>
            <w:fldChar w:fldCharType="separate"/>
          </w:r>
          <w:r>
            <w:rPr>
              <w:rFonts w:hint="eastAsia"/>
              <w:lang w:eastAsia="zh-CN"/>
            </w:rPr>
            <w:t>4 标配附件</w:t>
          </w:r>
          <w:r>
            <w:tab/>
          </w:r>
          <w:r>
            <w:fldChar w:fldCharType="end"/>
          </w:r>
          <w:r>
            <w:rPr>
              <w:rFonts w:hint="eastAsia"/>
              <w:lang w:val="en-US" w:eastAsia="zh-CN"/>
            </w:rPr>
            <w:t>9</w:t>
          </w:r>
        </w:p>
        <w:p>
          <w:pPr>
            <w:rPr>
              <w:rFonts w:ascii="Arial" w:hAnsi="Arial" w:eastAsia="宋体" w:cstheme="minorBidi"/>
              <w:b w:val="0"/>
              <w:spacing w:val="0"/>
              <w:kern w:val="0"/>
              <w:sz w:val="21"/>
              <w:szCs w:val="22"/>
            </w:rPr>
          </w:pPr>
          <w:r>
            <w:fldChar w:fldCharType="end"/>
          </w:r>
        </w:p>
      </w:sdtContent>
    </w:sdt>
    <w:p>
      <w:pPr>
        <w:rPr>
          <w:rFonts w:ascii="Arial" w:hAnsi="Arial" w:eastAsia="宋体" w:cstheme="minorBidi"/>
          <w:b w:val="0"/>
          <w:spacing w:val="0"/>
          <w:kern w:val="0"/>
          <w:sz w:val="21"/>
          <w:szCs w:val="22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rPr>
          <w:rFonts w:hint="eastAsia"/>
          <w:b/>
          <w:sz w:val="40"/>
          <w:szCs w:val="40"/>
          <w:lang w:val="en-US" w:eastAsia="zh-CN"/>
        </w:rPr>
      </w:pPr>
    </w:p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0" w:name="_Toc26484"/>
      <w:r>
        <w:rPr>
          <w:rFonts w:hint="eastAsia"/>
          <w:lang w:eastAsia="zh-CN"/>
        </w:rPr>
        <w:t>产品外观</w:t>
      </w:r>
      <w:bookmarkEnd w:id="0"/>
    </w:p>
    <w:p/>
    <w:p>
      <w:r>
        <w:rPr>
          <w:rFonts w:hint="eastAsia"/>
          <w:lang w:val="en-US" w:eastAsia="zh-CN"/>
        </w:rPr>
        <w:t xml:space="preserve">                         </w:t>
      </w:r>
      <w:r>
        <w:drawing>
          <wp:inline distT="0" distB="0" distL="114300" distR="114300">
            <wp:extent cx="1915160" cy="6136005"/>
            <wp:effectExtent l="0" t="0" r="2540" b="10795"/>
            <wp:docPr id="5" name="图片 5" descr="NX-3000_HT_2P_BSC_FT_KRA26_57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X-3000_HT_2P_BSC_FT_KRA26_57L_G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613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3036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651000" cy="1297305"/>
                  <wp:effectExtent l="0" t="0" r="0" b="10795"/>
                  <wp:docPr id="11" name="图片 11" descr="NX-3000_HT_2P_FKY_LightBar_M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NX-3000_HT_2P_FKY_LightBar_MGT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89430" cy="1376680"/>
                  <wp:effectExtent l="0" t="0" r="1270" b="7620"/>
                  <wp:docPr id="8" name="图片 8" descr="NX-3000_HT_2P_FKY_BT_57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NX-3000_HT_2P_FKY_BT_57L_GR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43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820420" cy="1365250"/>
                  <wp:effectExtent l="0" t="0" r="5080" b="6350"/>
                  <wp:docPr id="9" name="图片 9" descr="NX-3000_HT_2Pin_FKY_CONN_KRA22_55L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NX-3000_HT_2Pin_FKY_CONN_KRA22_55L_GR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bidi w:val="0"/>
        <w:ind w:left="0" w:leftChars="0" w:firstLine="0" w:firstLineChars="0"/>
        <w:rPr>
          <w:rFonts w:hint="eastAsia"/>
          <w:lang w:eastAsia="zh-CN"/>
        </w:rPr>
      </w:pPr>
      <w:bookmarkStart w:id="1" w:name="_Toc14348"/>
      <w:r>
        <w:rPr>
          <w:rFonts w:hint="eastAsia"/>
          <w:lang w:eastAsia="zh-CN"/>
        </w:rPr>
        <w:t>产品特点</w:t>
      </w:r>
      <w:bookmarkEnd w:id="1"/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通用特征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  <w:lang w:val="en-US" w:eastAsia="zh-CN"/>
        </w:rPr>
        <w:t>工作</w:t>
      </w:r>
      <w:r>
        <w:rPr>
          <w:rFonts w:hint="eastAsia" w:ascii="Arial" w:hAnsi="Arial" w:eastAsia="宋体"/>
          <w:szCs w:val="22"/>
        </w:rPr>
        <w:t>频率范</w:t>
      </w:r>
      <w:bookmarkStart w:id="6" w:name="_GoBack"/>
      <w:bookmarkEnd w:id="6"/>
      <w:r>
        <w:rPr>
          <w:rFonts w:hint="eastAsia" w:ascii="Arial" w:hAnsi="Arial" w:eastAsia="宋体"/>
          <w:szCs w:val="22"/>
        </w:rPr>
        <w:t>围宽达</w:t>
      </w:r>
      <w:r>
        <w:rPr>
          <w:rFonts w:hint="eastAsia" w:ascii="Arial" w:hAnsi="Arial" w:eastAsia="宋体"/>
          <w:szCs w:val="22"/>
          <w:lang w:val="en-US" w:eastAsia="zh-CN"/>
        </w:rPr>
        <w:t>38</w:t>
      </w:r>
      <w:r>
        <w:rPr>
          <w:rFonts w:hint="eastAsia" w:ascii="Arial" w:hAnsi="Arial" w:eastAsia="宋体"/>
          <w:szCs w:val="22"/>
        </w:rPr>
        <w:t>MHz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7色LED指示灯提示不同的工作状态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内置AMBE+2声码器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内置紧急报警功能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包括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手动触发报警、倒地报警、剧烈晃动报警、超时静止报警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内置单兵作业安全提示功能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</w:rPr>
        <w:t>具有语音提示功能</w:t>
      </w:r>
      <w:r>
        <w:rPr>
          <w:rFonts w:hint="eastAsia" w:ascii="Arial" w:hAnsi="Arial" w:eastAsia="宋体"/>
          <w:color w:val="FF0000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</w:rPr>
        <w:t>并且可编辑语音输入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录音/回放功能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分段录音，总长600秒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空中写频功能(选件)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采用主动消噪技术(ANR)，保证优异的语音质量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坚固耐用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符合美国军用标准MIL-STD810 C/D/E/F/G 11项环境试验标准</w:t>
      </w:r>
      <w:r>
        <w:rPr>
          <w:rFonts w:hint="eastAsia" w:ascii="Arial" w:hAnsi="Arial" w:eastAsia="宋体"/>
          <w:szCs w:val="22"/>
          <w:lang w:eastAsia="zh-CN"/>
        </w:rPr>
        <w:t>，</w:t>
      </w:r>
    </w:p>
    <w:p>
      <w:pPr>
        <w:pStyle w:val="13"/>
        <w:numPr>
          <w:ilvl w:val="0"/>
          <w:numId w:val="0"/>
        </w:numPr>
        <w:ind w:left="840" w:leftChars="0" w:firstLine="420" w:firstLineChars="20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防尘和防水通过国际标准IP67的测试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color w:val="FF0000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支持扩展GPS /北斗定位与校时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支持扩展500小时录音</w:t>
      </w:r>
      <w:r>
        <w:rPr>
          <w:rFonts w:hint="eastAsia" w:ascii="Arial" w:hAnsi="Arial" w:eastAsia="宋体"/>
          <w:color w:val="FF0000"/>
          <w:szCs w:val="22"/>
          <w:lang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数字-DMR模式(选件)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符合ETSI DMR 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 xml:space="preserve">II </w:t>
      </w:r>
      <w:r>
        <w:rPr>
          <w:rFonts w:hint="eastAsia" w:ascii="Arial" w:hAnsi="Arial" w:eastAsia="宋体"/>
          <w:szCs w:val="22"/>
          <w:lang w:val="en-US" w:eastAsia="zh-CN"/>
        </w:rPr>
        <w:t>/</w:t>
      </w:r>
      <w:r>
        <w:rPr>
          <w:rFonts w:hint="eastAsia" w:ascii="Arial" w:hAnsi="Arial" w:eastAsia="宋体"/>
          <w:szCs w:val="22"/>
        </w:rPr>
        <w:t>Tier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III标准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支持接入</w:t>
      </w:r>
      <w:r>
        <w:rPr>
          <w:rFonts w:hint="eastAsia" w:ascii="Arial" w:hAnsi="Arial" w:eastAsia="宋体"/>
          <w:color w:val="FF0000"/>
          <w:szCs w:val="22"/>
        </w:rPr>
        <w:t>Tier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color w:val="FF0000"/>
          <w:szCs w:val="22"/>
        </w:rPr>
        <w:t>III</w:t>
      </w:r>
      <w:r>
        <w:rPr>
          <w:rFonts w:hint="eastAsia" w:ascii="Arial" w:hAnsi="Arial" w:eastAsia="宋体"/>
          <w:color w:val="FF0000"/>
          <w:szCs w:val="22"/>
          <w:lang w:val="en-US" w:eastAsia="zh-CN"/>
        </w:rPr>
        <w:t>专业集群系统；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12.5kHz载频2时隙TDMA方式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个别呼叫，组呼，全呼，广播呼叫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状态信息，文本信息，GPS数据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具有呼叫强拆功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直通模式下双时隙通信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内置15bit数字加密和DMR标准的ARC4 40bit加密功能</w:t>
      </w:r>
      <w:r>
        <w:rPr>
          <w:rFonts w:hint="eastAsia" w:ascii="Arial" w:hAnsi="Arial" w:eastAsia="宋体"/>
          <w:szCs w:val="22"/>
          <w:lang w:val="en-US" w:eastAsia="zh-CN"/>
        </w:rPr>
        <w:t>；</w:t>
      </w:r>
    </w:p>
    <w:p>
      <w:pPr>
        <w:pStyle w:val="13"/>
        <w:numPr>
          <w:ilvl w:val="0"/>
          <w:numId w:val="0"/>
        </w:numPr>
        <w:ind w:left="840" w:leftChars="0"/>
        <w:jc w:val="both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数字-NXDN模式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超窄带FDMA方式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6.25kHz信道间隔和12.5kHz信道间隔可编程选择设置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使用灵活,频谱利用率高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支持语音业务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个别选呼，组呼，全呼，广播呼叫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支持数据业务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>状态信息，文本信息 (短数据，长数据)，GPS数据透明传输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具有15bit的语音加密功能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空中别名功能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呼叫方将自己的别名或ID发送到接收方显示出来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遥毙/复活/远程监听/远程检测(按需配置)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数字常规模式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  <w:lang w:val="en-US" w:eastAsia="zh-CN"/>
        </w:rPr>
      </w:pPr>
      <w:r>
        <w:rPr>
          <w:rFonts w:hint="eastAsia" w:ascii="Arial" w:hAnsi="Arial" w:eastAsia="宋体"/>
          <w:szCs w:val="22"/>
        </w:rPr>
        <w:t>在多中转台IP联网下能够自动判选和切换到</w:t>
      </w:r>
      <w:r>
        <w:rPr>
          <w:rFonts w:hint="eastAsia" w:ascii="Arial" w:hAnsi="Arial" w:eastAsia="宋体"/>
          <w:szCs w:val="22"/>
          <w:lang w:val="en-US" w:eastAsia="zh-CN"/>
        </w:rPr>
        <w:t>更</w:t>
      </w:r>
      <w:r>
        <w:rPr>
          <w:rFonts w:hint="eastAsia" w:ascii="Arial" w:hAnsi="Arial" w:eastAsia="宋体"/>
          <w:szCs w:val="22"/>
        </w:rPr>
        <w:t>佳信号的中转台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漫游通信无需手动切换信道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数字/模拟混合工作模式，双模双待，自适应响应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63个RAN码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NEXEDGE C型数字集群和Gen2数字集群(</w:t>
      </w:r>
      <w:r>
        <w:rPr>
          <w:rFonts w:hint="eastAsia" w:ascii="Arial" w:hAnsi="Arial" w:eastAsia="宋体"/>
          <w:szCs w:val="22"/>
          <w:lang w:val="en-US" w:eastAsia="zh-CN"/>
        </w:rPr>
        <w:t>选件</w:t>
      </w:r>
      <w:r>
        <w:rPr>
          <w:rFonts w:hint="eastAsia" w:ascii="Arial" w:hAnsi="Arial" w:eastAsia="宋体"/>
          <w:szCs w:val="22"/>
        </w:rPr>
        <w:t>)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优先呼叫(可分8个级别)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延迟加入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遇忙排队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4个优先接收ID实现强插通信动态重组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ESN验证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2"/>
          <w:numId w:val="4"/>
        </w:numPr>
        <w:ind w:left="1890" w:leftChars="0" w:hanging="420" w:firstLineChars="0"/>
        <w:jc w:val="left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自动登记，漫游通信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1470" w:leftChars="0"/>
        <w:jc w:val="left"/>
        <w:rPr>
          <w:rFonts w:hint="eastAsia" w:ascii="Arial" w:hAnsi="Arial" w:eastAsia="宋体"/>
          <w:szCs w:val="22"/>
        </w:rPr>
      </w:pPr>
    </w:p>
    <w:p>
      <w:pPr>
        <w:pStyle w:val="13"/>
        <w:numPr>
          <w:ilvl w:val="0"/>
          <w:numId w:val="2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b/>
          <w:szCs w:val="22"/>
          <w:lang w:val="en-US" w:eastAsia="zh-CN"/>
        </w:rPr>
        <w:t>模拟模式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支持模拟常规模式和LTR集群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PTT-ID/ANI</w:t>
      </w:r>
      <w:r>
        <w:rPr>
          <w:rFonts w:hint="eastAsia" w:ascii="Arial" w:hAnsi="Arial" w:eastAsia="宋体"/>
          <w:szCs w:val="22"/>
          <w:lang w:eastAsia="zh-CN"/>
        </w:rPr>
        <w:t>（</w:t>
      </w:r>
      <w:r>
        <w:rPr>
          <w:rFonts w:hint="eastAsia" w:ascii="Arial" w:hAnsi="Arial" w:eastAsia="宋体"/>
          <w:szCs w:val="22"/>
          <w:lang w:val="en-US" w:eastAsia="zh-CN"/>
        </w:rPr>
        <w:t>仅发射）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内置扰频加密功能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pStyle w:val="13"/>
        <w:numPr>
          <w:ilvl w:val="2"/>
          <w:numId w:val="3"/>
        </w:numPr>
        <w:ind w:left="1260" w:leftChars="0" w:hanging="420" w:firstLineChars="0"/>
        <w:jc w:val="both"/>
        <w:rPr>
          <w:rFonts w:hint="eastAsia" w:ascii="Arial" w:hAnsi="Arial" w:eastAsia="宋体"/>
          <w:szCs w:val="22"/>
        </w:rPr>
      </w:pPr>
      <w:r>
        <w:rPr>
          <w:rFonts w:hint="eastAsia" w:ascii="Arial" w:hAnsi="Arial" w:eastAsia="宋体"/>
          <w:szCs w:val="22"/>
        </w:rPr>
        <w:t>内置多种信令</w:t>
      </w:r>
      <w:r>
        <w:rPr>
          <w:rFonts w:hint="eastAsia" w:ascii="Arial" w:hAnsi="Arial" w:eastAsia="宋体"/>
          <w:szCs w:val="22"/>
          <w:lang w:eastAsia="zh-CN"/>
        </w:rPr>
        <w:t>：</w:t>
      </w:r>
      <w:r>
        <w:rPr>
          <w:rFonts w:hint="eastAsia" w:ascii="Arial" w:hAnsi="Arial" w:eastAsia="宋体"/>
          <w:szCs w:val="22"/>
        </w:rPr>
        <w:t xml:space="preserve"> QT/DQT编码和解码，DTMF编码/解码，FleetSync/ FleetSync</w:t>
      </w:r>
      <w:r>
        <w:rPr>
          <w:rFonts w:hint="eastAsia" w:ascii="Arial" w:hAnsi="Arial" w:eastAsia="宋体"/>
          <w:szCs w:val="22"/>
          <w:lang w:val="en-US" w:eastAsia="zh-CN"/>
        </w:rPr>
        <w:t xml:space="preserve"> </w:t>
      </w:r>
      <w:r>
        <w:rPr>
          <w:rFonts w:hint="eastAsia" w:ascii="Arial" w:hAnsi="Arial" w:eastAsia="宋体"/>
          <w:szCs w:val="22"/>
        </w:rPr>
        <w:t>ll</w:t>
      </w:r>
      <w:r>
        <w:rPr>
          <w:rFonts w:hint="eastAsia" w:ascii="Arial" w:hAnsi="Arial" w:eastAsia="宋体"/>
          <w:szCs w:val="22"/>
          <w:lang w:eastAsia="zh-CN"/>
        </w:rPr>
        <w:t>，</w:t>
      </w:r>
      <w:r>
        <w:rPr>
          <w:rFonts w:hint="eastAsia" w:ascii="Arial" w:hAnsi="Arial" w:eastAsia="宋体"/>
          <w:szCs w:val="22"/>
        </w:rPr>
        <w:t>MDC1200</w:t>
      </w:r>
      <w:r>
        <w:rPr>
          <w:rFonts w:hint="eastAsia" w:ascii="Arial" w:hAnsi="Arial" w:eastAsia="宋体"/>
          <w:szCs w:val="22"/>
          <w:lang w:eastAsia="zh-CN"/>
        </w:rPr>
        <w:t>；</w:t>
      </w:r>
    </w:p>
    <w:p>
      <w:pPr>
        <w:numPr>
          <w:ilvl w:val="0"/>
          <w:numId w:val="0"/>
        </w:numPr>
        <w:ind w:left="840" w:leftChars="0"/>
        <w:jc w:val="left"/>
        <w:rPr>
          <w:rFonts w:hint="eastAsia" w:ascii="Arial" w:hAnsi="Arial" w:eastAsia="宋体"/>
          <w:szCs w:val="22"/>
          <w:lang w:val="en-US" w:eastAsia="zh-CN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ind w:left="1260" w:leftChars="600" w:firstLine="420" w:firstLineChars="200"/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/>
          <w:szCs w:val="22"/>
        </w:rPr>
      </w:pPr>
    </w:p>
    <w:p>
      <w:pPr>
        <w:pStyle w:val="2"/>
        <w:rPr>
          <w:rFonts w:hint="eastAsia"/>
          <w:lang w:eastAsia="zh-CN"/>
        </w:rPr>
      </w:pPr>
      <w:bookmarkStart w:id="2" w:name="_Toc9930"/>
      <w:r>
        <w:rPr>
          <w:rFonts w:hint="eastAsia"/>
          <w:lang w:val="en-US" w:eastAsia="zh-CN"/>
        </w:rPr>
        <w:t>标准技术</w:t>
      </w:r>
      <w:r>
        <w:rPr>
          <w:rFonts w:hint="eastAsia"/>
          <w:lang w:eastAsia="zh-CN"/>
        </w:rPr>
        <w:t>规格</w:t>
      </w:r>
      <w:bookmarkEnd w:id="2"/>
    </w:p>
    <w:tbl>
      <w:tblPr>
        <w:tblStyle w:val="8"/>
        <w:tblW w:w="86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225"/>
        <w:gridCol w:w="5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通用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频率范围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136~174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信道数量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区域数量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信道间隔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6.25kHz/12.5kHz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工作电源电压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7.5VDC±20%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电池使用时间（FDMA/TDMA)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5-5-90工作循环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约11小时（KNB-57L电池）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主机工作温度范围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- 30～+60℃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尺寸（宽x高x厚）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56x119.6x36.7mm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56x119.6x39.3mm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重量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本机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配KNB-57L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ETSI(EMC)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301 489-3，EN 301 489-5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301 489-17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ETSI(频谱)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300 086，EN 300 113，EN 300 219,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300 328，EN 300 440，EN 300 166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ETSI(安全)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 60065，EN 60215，EN 60950-1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3%误码率（6.25kHz/12.5kHz）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0.20μV/0.25μV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00" w:hanging="11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NXDN 1%识码率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（6.25kHz/12.5kHz）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0.32μV/0.45μV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5%识码率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 1%识码率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12dB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 EIA 20dB SINAD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(12.5kHz/25kHz)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0.45μV/0.35μV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模拟12.5/25kHz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68dB/76dB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互调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杂波辐射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内置扬声器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5%失真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1000mW/8Ω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4BACC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发射功率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高5W/中4W/低1W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杂散辐射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-36dBm≤1GHz，-30dBm&gt;1GHcz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剩余调频(模拟)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12.5kHz/25kHz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40dB/45dB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调制失真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数字协议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1-A，NXDN TS 1-B，NXDN TS 1-C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NXDN TS 1-D，NXDN TS 1-E，NXDN TS 1-F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DMR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ETSITS102 361-1，-2，-3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调制类型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16KOF3E，8K5F3E，8K30F1E，8K30F1D8K30F7W，7K50F2D，7K60FXE，7K60FXD4K00F1E，4K00F1D，4K00F7W，4K00F2D</w:t>
            </w: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*根据实际测量</w:t>
      </w:r>
    </w:p>
    <w:p>
      <w:pPr>
        <w:rPr>
          <w:rFonts w:hint="eastAsia"/>
        </w:rPr>
      </w:pPr>
      <w:r>
        <w:rPr>
          <w:rFonts w:hint="eastAsia"/>
        </w:rPr>
        <w:t>上述数据是典型值。</w:t>
      </w:r>
    </w:p>
    <w:p>
      <w:pPr>
        <w:rPr>
          <w:rFonts w:hint="eastAsia"/>
        </w:rPr>
      </w:pPr>
      <w:r>
        <w:rPr>
          <w:rFonts w:hint="eastAsia"/>
        </w:rPr>
        <w:t>固件和软件的升级细节和时间是不固定的，恕不预先通知。</w:t>
      </w:r>
    </w:p>
    <w:p>
      <w:pPr>
        <w:rPr>
          <w:rFonts w:hint="eastAsia"/>
        </w:rPr>
      </w:pPr>
      <w:r>
        <w:rPr>
          <w:rFonts w:hint="eastAsia"/>
        </w:rPr>
        <w:t>由于技术不断地发展，以上数据有可能变更，恕不预先通知。</w:t>
      </w:r>
    </w:p>
    <w:p/>
    <w:p/>
    <w:p/>
    <w:p/>
    <w:p/>
    <w:p/>
    <w:p/>
    <w:p/>
    <w:p/>
    <w:p/>
    <w:p>
      <w:pPr>
        <w:pStyle w:val="2"/>
        <w:rPr>
          <w:rFonts w:hint="eastAsia"/>
          <w:lang w:eastAsia="zh-CN"/>
        </w:rPr>
      </w:pPr>
      <w:bookmarkStart w:id="3" w:name="_Toc5208"/>
      <w:bookmarkStart w:id="4" w:name="_Toc14004"/>
      <w:bookmarkStart w:id="5" w:name="_Toc30620"/>
      <w:r>
        <w:rPr>
          <w:rFonts w:hint="eastAsia"/>
          <w:lang w:eastAsia="zh-CN"/>
        </w:rPr>
        <w:t>标配附件</w:t>
      </w:r>
      <w:bookmarkEnd w:id="3"/>
      <w:bookmarkEnd w:id="4"/>
      <w:bookmarkEnd w:id="5"/>
    </w:p>
    <w:tbl>
      <w:tblPr>
        <w:tblStyle w:val="9"/>
        <w:tblpPr w:leftFromText="180" w:rightFromText="180" w:vertAnchor="text" w:horzAnchor="page" w:tblpX="2052" w:tblpY="347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520"/>
        <w:gridCol w:w="1335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背 夹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(KBH-11)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7" name="图片 7" descr="IMG_8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848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线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(KRA-26)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660400" cy="24447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44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锂离子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电池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(KNB-57L)</w:t>
            </w:r>
          </w:p>
          <w:p>
            <w:pPr>
              <w:jc w:val="center"/>
              <w:rPr>
                <w:rFonts w:hint="default" w:ascii="Arial" w:hAnsi="Arial" w:eastAsiaTheme="minorEastAsia" w:cstheme="minorBidi"/>
                <w:b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(1900mAh)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theme="minorBidi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457325" cy="1943100"/>
                  <wp:effectExtent l="0" t="0" r="3175" b="0"/>
                  <wp:docPr id="6" name="图片 6" descr="IMG_8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84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快速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充电器</w:t>
            </w:r>
          </w:p>
          <w:p>
            <w:pPr>
              <w:jc w:val="center"/>
              <w:rPr>
                <w:rFonts w:hint="default" w:eastAsiaTheme="min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(KSC-25LS)</w:t>
            </w:r>
          </w:p>
        </w:tc>
        <w:tc>
          <w:tcPr>
            <w:tcW w:w="6675" w:type="dxa"/>
            <w:gridSpan w:val="3"/>
            <w:vAlign w:val="center"/>
          </w:tcPr>
          <w:p>
            <w:pPr>
              <w:jc w:val="center"/>
            </w:pPr>
            <w:r>
              <w:drawing>
                <wp:inline distT="0" distB="0" distL="114300" distR="114300">
                  <wp:extent cx="3581400" cy="213995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/>
          <w:b/>
          <w:sz w:val="40"/>
          <w:szCs w:val="4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280"/>
      </w:tabs>
      <w:spacing w:line="180" w:lineRule="exact"/>
      <w:ind w:right="360"/>
      <w:rPr>
        <w:rFonts w:hint="eastAsia" w:ascii="楷体_GB2312" w:eastAsia="楷体_GB2312"/>
      </w:rPr>
    </w:pPr>
    <w:r>
      <w:rPr>
        <w:rStyle w:val="11"/>
        <w:rFonts w:hint="eastAsia" w:ascii="楷体_GB2312" w:eastAsia="楷体_GB2312"/>
      </w:rPr>
      <w:t>版权所有</w:t>
    </w:r>
    <w:r>
      <w:rPr>
        <w:rStyle w:val="11"/>
        <w:rFonts w:hint="eastAsia" w:eastAsia="楷体_GB2312"/>
      </w:rPr>
      <w:t>©</w:t>
    </w:r>
    <w:r>
      <w:rPr>
        <w:rStyle w:val="11"/>
        <w:rFonts w:hint="eastAsia" w:ascii="楷体_GB2312" w:eastAsia="楷体_GB2312"/>
      </w:rPr>
      <w:t xml:space="preserve"> </w:t>
    </w:r>
    <w:r>
      <w:rPr>
        <w:rFonts w:hint="eastAsia" w:ascii="楷体_GB2312" w:eastAsia="楷体_GB2312"/>
      </w:rPr>
      <w:fldChar w:fldCharType="begin"/>
    </w:r>
    <w:r>
      <w:rPr>
        <w:rStyle w:val="11"/>
        <w:rFonts w:hint="eastAsia" w:ascii="楷体_GB2312" w:eastAsia="楷体_GB2312"/>
      </w:rPr>
      <w:instrText xml:space="preserve"> DATE \@ "yyyy" </w:instrText>
    </w:r>
    <w:r>
      <w:rPr>
        <w:rFonts w:hint="eastAsia" w:ascii="楷体_GB2312" w:eastAsia="楷体_GB2312"/>
      </w:rPr>
      <w:fldChar w:fldCharType="separate"/>
    </w:r>
    <w:r>
      <w:rPr>
        <w:rStyle w:val="11"/>
        <w:rFonts w:hint="eastAsia" w:ascii="楷体_GB2312" w:eastAsia="楷体_GB2312"/>
      </w:rPr>
      <w:t>2023</w:t>
    </w:r>
    <w:r>
      <w:rPr>
        <w:rFonts w:hint="eastAsia" w:ascii="楷体_GB2312" w:eastAsia="楷体_GB2312"/>
      </w:rPr>
      <w:fldChar w:fldCharType="end"/>
    </w:r>
    <w:r>
      <w:rPr>
        <w:rStyle w:val="11"/>
        <w:rFonts w:hint="eastAsia" w:ascii="楷体_GB2312" w:eastAsia="楷体_GB2312"/>
      </w:rPr>
      <w:t xml:space="preserve"> www.kenwood.com</w:t>
    </w:r>
    <w:r>
      <w:rPr>
        <w:rFonts w:hint="eastAsia" w:ascii="楷体_GB2312" w:eastAsia="楷体_GB2312"/>
      </w:rPr>
      <w:t xml:space="preserve">                                                                             </w:t>
    </w:r>
  </w:p>
  <w:p>
    <w:pPr>
      <w:pStyle w:val="6"/>
      <w:spacing w:line="180" w:lineRule="exact"/>
    </w:pPr>
    <w:r>
      <w:rPr>
        <w:rStyle w:val="11"/>
        <w:rFonts w:hint="eastAsia" w:ascii="楷体_GB2312" w:eastAsia="楷体_GB2312"/>
      </w:rPr>
      <w:t>内部保密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right"/>
      <w:rPr>
        <w:u w:val="none"/>
      </w:rPr>
    </w:pPr>
    <w:r>
      <w:rPr>
        <w:u w:val="none"/>
      </w:rPr>
      <w:drawing>
        <wp:inline distT="0" distB="0" distL="114300" distR="114300">
          <wp:extent cx="1390015" cy="315595"/>
          <wp:effectExtent l="0" t="0" r="6985" b="190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01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3446E6"/>
    <w:multiLevelType w:val="multilevel"/>
    <w:tmpl w:val="283446E6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89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abstractNum w:abstractNumId="1">
    <w:nsid w:val="3CC37D45"/>
    <w:multiLevelType w:val="multilevel"/>
    <w:tmpl w:val="3CC37D4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4421996"/>
    <w:multiLevelType w:val="multilevel"/>
    <w:tmpl w:val="64421996"/>
    <w:lvl w:ilvl="0" w:tentative="0">
      <w:start w:val="1"/>
      <w:numFmt w:val="decimal"/>
      <w:pStyle w:val="2"/>
      <w:lvlText w:val="%1"/>
      <w:lvlJc w:val="left"/>
    </w:lvl>
    <w:lvl w:ilvl="1" w:tentative="0">
      <w:start w:val="1"/>
      <w:numFmt w:val="decimal"/>
      <w:lvlText w:val="%1.%2"/>
      <w:lvlJc w:val="left"/>
    </w:lvl>
    <w:lvl w:ilvl="2" w:tentative="0">
      <w:start w:val="1"/>
      <w:numFmt w:val="decimal"/>
      <w:lvlText w:val="%1.%2.%3"/>
      <w:lvlJc w:val="left"/>
      <w:rPr>
        <w:rFonts w:hint="default" w:ascii="Arial" w:hAnsi="Arial" w:cs="Arial"/>
      </w:rPr>
    </w:lvl>
    <w:lvl w:ilvl="3" w:tentative="0">
      <w:start w:val="1"/>
      <w:numFmt w:val="decimal"/>
      <w:lvlText w:val="%1.%2.%3.%4"/>
      <w:lvlJc w:val="left"/>
    </w:lvl>
    <w:lvl w:ilvl="4" w:tentative="0">
      <w:start w:val="1"/>
      <w:numFmt w:val="decimal"/>
      <w:lvlText w:val="%1.%2.%3.%4.%5"/>
      <w:lvlJc w:val="left"/>
    </w:lvl>
    <w:lvl w:ilvl="5" w:tentative="0">
      <w:start w:val="1"/>
      <w:numFmt w:val="decimal"/>
      <w:lvlText w:val="%1.%2.%3.%4.%5.%6"/>
      <w:lvlJc w:val="left"/>
    </w:lvl>
    <w:lvl w:ilvl="6" w:tentative="0">
      <w:start w:val="1"/>
      <w:numFmt w:val="decimal"/>
      <w:lvlText w:val="%1.%2.%3.%4.%5.%6.%7"/>
      <w:lvlJc w:val="left"/>
    </w:lvl>
    <w:lvl w:ilvl="7" w:tentative="0">
      <w:start w:val="1"/>
      <w:numFmt w:val="decimal"/>
      <w:lvlText w:val="%1.%2.%3.%4.%5.%6.%7.%8"/>
      <w:lvlJc w:val="left"/>
    </w:lvl>
    <w:lvl w:ilvl="8" w:tentative="0">
      <w:start w:val="1"/>
      <w:numFmt w:val="decimal"/>
      <w:lvlText w:val="%1.%2.%3.%4.%5.%6.%7.%8.%9"/>
      <w:lvlJc w:val="left"/>
    </w:lvl>
  </w:abstractNum>
  <w:abstractNum w:abstractNumId="3">
    <w:nsid w:val="7580A2F1"/>
    <w:multiLevelType w:val="multilevel"/>
    <w:tmpl w:val="7580A2F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NTJiZmZlN2QxMTJmYTM2ZTkwMWU2NTFiOTUzY2YifQ=="/>
  </w:docVars>
  <w:rsids>
    <w:rsidRoot w:val="00000000"/>
    <w:rsid w:val="00DE2DDD"/>
    <w:rsid w:val="017512B4"/>
    <w:rsid w:val="05243941"/>
    <w:rsid w:val="05FE23E4"/>
    <w:rsid w:val="07C75183"/>
    <w:rsid w:val="08F71A98"/>
    <w:rsid w:val="09A47323"/>
    <w:rsid w:val="0F8910A9"/>
    <w:rsid w:val="111425F0"/>
    <w:rsid w:val="134C3D4D"/>
    <w:rsid w:val="145D3689"/>
    <w:rsid w:val="15281C45"/>
    <w:rsid w:val="155C2C83"/>
    <w:rsid w:val="163C6D3C"/>
    <w:rsid w:val="16B32D77"/>
    <w:rsid w:val="16E11692"/>
    <w:rsid w:val="16E66D61"/>
    <w:rsid w:val="1A7B3BAB"/>
    <w:rsid w:val="1C36219D"/>
    <w:rsid w:val="1DD2442A"/>
    <w:rsid w:val="1E94348E"/>
    <w:rsid w:val="1FA932E3"/>
    <w:rsid w:val="209459C7"/>
    <w:rsid w:val="21294361"/>
    <w:rsid w:val="21AD6D40"/>
    <w:rsid w:val="21CE6CB6"/>
    <w:rsid w:val="22BD7457"/>
    <w:rsid w:val="23AC53CD"/>
    <w:rsid w:val="243E6375"/>
    <w:rsid w:val="25900E53"/>
    <w:rsid w:val="272555CB"/>
    <w:rsid w:val="275B0FEC"/>
    <w:rsid w:val="27CC3C98"/>
    <w:rsid w:val="28357A8F"/>
    <w:rsid w:val="29C10D80"/>
    <w:rsid w:val="2AF73935"/>
    <w:rsid w:val="2B9E594C"/>
    <w:rsid w:val="2C574478"/>
    <w:rsid w:val="2E0A551A"/>
    <w:rsid w:val="311A5FF2"/>
    <w:rsid w:val="31777D04"/>
    <w:rsid w:val="320F6A40"/>
    <w:rsid w:val="33313908"/>
    <w:rsid w:val="336D632F"/>
    <w:rsid w:val="34080E52"/>
    <w:rsid w:val="36B1347B"/>
    <w:rsid w:val="37385DE2"/>
    <w:rsid w:val="37547E2C"/>
    <w:rsid w:val="377F2724"/>
    <w:rsid w:val="3831701C"/>
    <w:rsid w:val="383C7CBE"/>
    <w:rsid w:val="3C522566"/>
    <w:rsid w:val="3D601A89"/>
    <w:rsid w:val="3EB412B6"/>
    <w:rsid w:val="3F514D57"/>
    <w:rsid w:val="42115651"/>
    <w:rsid w:val="448422C5"/>
    <w:rsid w:val="44E977E0"/>
    <w:rsid w:val="48022966"/>
    <w:rsid w:val="488717E9"/>
    <w:rsid w:val="48C52312"/>
    <w:rsid w:val="4A4756D4"/>
    <w:rsid w:val="4A53205B"/>
    <w:rsid w:val="4B180E1F"/>
    <w:rsid w:val="4C082C41"/>
    <w:rsid w:val="4E8D61CF"/>
    <w:rsid w:val="4EAF439C"/>
    <w:rsid w:val="4F075432"/>
    <w:rsid w:val="4FED4628"/>
    <w:rsid w:val="50267B3A"/>
    <w:rsid w:val="506A1680"/>
    <w:rsid w:val="50AD6BE4"/>
    <w:rsid w:val="53051C89"/>
    <w:rsid w:val="531445C2"/>
    <w:rsid w:val="54056648"/>
    <w:rsid w:val="55D01046"/>
    <w:rsid w:val="56876E58"/>
    <w:rsid w:val="56D66003"/>
    <w:rsid w:val="587632DC"/>
    <w:rsid w:val="58885441"/>
    <w:rsid w:val="589A10C5"/>
    <w:rsid w:val="58E40592"/>
    <w:rsid w:val="596A4F3B"/>
    <w:rsid w:val="5A202468"/>
    <w:rsid w:val="5B0D4D70"/>
    <w:rsid w:val="5B7756EE"/>
    <w:rsid w:val="5D9933F8"/>
    <w:rsid w:val="5E624433"/>
    <w:rsid w:val="603F4D07"/>
    <w:rsid w:val="61AD3208"/>
    <w:rsid w:val="621C0D9D"/>
    <w:rsid w:val="627B5AC3"/>
    <w:rsid w:val="63612F0B"/>
    <w:rsid w:val="65226971"/>
    <w:rsid w:val="65B5753E"/>
    <w:rsid w:val="65E322FD"/>
    <w:rsid w:val="69DA174D"/>
    <w:rsid w:val="69E71C90"/>
    <w:rsid w:val="69E91EAC"/>
    <w:rsid w:val="6ADD44FB"/>
    <w:rsid w:val="6B480E55"/>
    <w:rsid w:val="6D102A05"/>
    <w:rsid w:val="6D260D22"/>
    <w:rsid w:val="6DFE57FA"/>
    <w:rsid w:val="6EC72405"/>
    <w:rsid w:val="6F9208F0"/>
    <w:rsid w:val="70217FA0"/>
    <w:rsid w:val="70FC714F"/>
    <w:rsid w:val="712D50B1"/>
    <w:rsid w:val="726B39D4"/>
    <w:rsid w:val="72A526E9"/>
    <w:rsid w:val="740D49E9"/>
    <w:rsid w:val="752A2293"/>
    <w:rsid w:val="77277E53"/>
    <w:rsid w:val="775D2E27"/>
    <w:rsid w:val="779A6594"/>
    <w:rsid w:val="77D777E8"/>
    <w:rsid w:val="79224A93"/>
    <w:rsid w:val="79A03FCF"/>
    <w:rsid w:val="7C413482"/>
    <w:rsid w:val="7C5E16DD"/>
    <w:rsid w:val="7C9C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480" w:line="288" w:lineRule="auto"/>
      <w:ind w:left="1247" w:hanging="1247"/>
      <w:jc w:val="both"/>
      <w:outlineLvl w:val="0"/>
    </w:pPr>
    <w:rPr>
      <w:rFonts w:ascii="Arial" w:hAnsi="Arial" w:eastAsia="宋体" w:cstheme="minorBidi"/>
      <w:b/>
      <w:bCs/>
      <w:kern w:val="44"/>
      <w:sz w:val="36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4"/>
    <w:next w:val="1"/>
    <w:unhideWhenUsed/>
    <w:qFormat/>
    <w:uiPriority w:val="39"/>
    <w:pPr>
      <w:tabs>
        <w:tab w:val="left" w:pos="420"/>
        <w:tab w:val="left" w:pos="567"/>
        <w:tab w:val="left" w:pos="1134"/>
        <w:tab w:val="left" w:pos="1777"/>
        <w:tab w:val="right" w:leader="dot" w:pos="8789"/>
        <w:tab w:val="right" w:leader="dot" w:pos="9062"/>
      </w:tabs>
      <w:ind w:left="1701" w:right="34" w:hanging="567"/>
    </w:pPr>
  </w:style>
  <w:style w:type="paragraph" w:styleId="4">
    <w:name w:val="toc 2"/>
    <w:basedOn w:val="5"/>
    <w:next w:val="1"/>
    <w:unhideWhenUsed/>
    <w:qFormat/>
    <w:uiPriority w:val="39"/>
    <w:pPr>
      <w:tabs>
        <w:tab w:val="left" w:pos="420"/>
        <w:tab w:val="left" w:pos="567"/>
        <w:tab w:val="left" w:pos="1134"/>
        <w:tab w:val="right" w:leader="dot" w:pos="8789"/>
        <w:tab w:val="right" w:leader="dot" w:pos="9062"/>
      </w:tabs>
      <w:spacing w:before="120"/>
      <w:ind w:left="1276" w:right="907" w:hanging="709"/>
    </w:pPr>
    <w:rPr>
      <w:b w:val="0"/>
    </w:rPr>
  </w:style>
  <w:style w:type="paragraph" w:styleId="5">
    <w:name w:val="toc 1"/>
    <w:basedOn w:val="1"/>
    <w:next w:val="4"/>
    <w:unhideWhenUsed/>
    <w:qFormat/>
    <w:uiPriority w:val="39"/>
    <w:pPr>
      <w:keepNext/>
      <w:widowControl/>
      <w:tabs>
        <w:tab w:val="left" w:pos="420"/>
        <w:tab w:val="left" w:pos="567"/>
        <w:tab w:val="right" w:leader="dot" w:pos="8789"/>
        <w:tab w:val="right" w:leader="dot" w:pos="9062"/>
      </w:tabs>
      <w:spacing w:before="360"/>
      <w:ind w:left="567" w:right="34" w:hanging="425"/>
      <w:jc w:val="left"/>
    </w:pPr>
    <w:rPr>
      <w:b/>
      <w:kern w:val="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TOC Heading"/>
    <w:basedOn w:val="1"/>
    <w:unhideWhenUsed/>
    <w:qFormat/>
    <w:uiPriority w:val="39"/>
    <w:pPr>
      <w:keepNext/>
      <w:widowControl/>
      <w:spacing w:before="840" w:after="240"/>
      <w:jc w:val="left"/>
    </w:pPr>
    <w:rPr>
      <w:rFonts w:cstheme="majorBidi"/>
      <w:b/>
      <w:spacing w:val="10"/>
      <w:kern w:val="20"/>
      <w:sz w:val="40"/>
      <w:szCs w:val="2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1450</Words>
  <Characters>2341</Characters>
  <Lines>0</Lines>
  <Paragraphs>0</Paragraphs>
  <TotalTime>1</TotalTime>
  <ScaleCrop>false</ScaleCrop>
  <LinksUpToDate>false</LinksUpToDate>
  <CharactersWithSpaces>2461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2022-12-09T08:53:00Z</dcterms:created>
  <dc:creator>上海汉界通信工程有限公司</dc:creator>
  <cp:lastModifiedBy>无线对讲系统-徐工13918677771</cp:lastModifiedBy>
  <dcterms:modified xsi:type="dcterms:W3CDTF">2023-04-23T01:41:01Z</dcterms:modified>
  <dc:title>NX-3220-C3数字对讲机
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A173627EB58C4F35ABE33FBE9DB0A2D3</vt:lpwstr>
  </property>
</Properties>
</file>